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3038" w14:textId="3CDA87C6" w:rsidR="00496E6B" w:rsidRDefault="00496E6B" w:rsidP="00496E6B">
      <w:pPr>
        <w:pStyle w:val="Introtext"/>
      </w:pPr>
      <w:r>
        <w:t xml:space="preserve">The Government </w:t>
      </w:r>
      <w:r w:rsidR="00976711">
        <w:t xml:space="preserve">is </w:t>
      </w:r>
      <w:r w:rsidR="00533DAA">
        <w:t xml:space="preserve">helping </w:t>
      </w:r>
      <w:r>
        <w:t xml:space="preserve">retirees </w:t>
      </w:r>
      <w:r w:rsidR="00533DAA">
        <w:t xml:space="preserve">to </w:t>
      </w:r>
      <w:r>
        <w:t>manag</w:t>
      </w:r>
      <w:r w:rsidR="00533DAA">
        <w:t>e</w:t>
      </w:r>
      <w:r>
        <w:t xml:space="preserve"> the impact of volatility in financial markets on their retirement savings</w:t>
      </w:r>
      <w:r w:rsidR="009568FE">
        <w:t xml:space="preserve"> by temporarily reducing </w:t>
      </w:r>
      <w:r w:rsidR="0018526B">
        <w:t xml:space="preserve">superannuation </w:t>
      </w:r>
      <w:r w:rsidR="009568FE">
        <w:t>minimum drawdown requirements</w:t>
      </w:r>
      <w:r w:rsidR="009A58F3">
        <w:t>.</w:t>
      </w:r>
      <w:r>
        <w:t xml:space="preserve"> </w:t>
      </w:r>
      <w:r w:rsidR="0018526B">
        <w:t>The Government is also reducing social security deeming rates in recognition of the impact of the low interest rates on savings.</w:t>
      </w:r>
    </w:p>
    <w:p w14:paraId="52AB9707" w14:textId="77777777" w:rsidR="00496E6B" w:rsidRDefault="00496E6B" w:rsidP="00496E6B">
      <w:pPr>
        <w:pStyle w:val="Heading2"/>
      </w:pPr>
      <w:r>
        <w:t>Summary</w:t>
      </w:r>
    </w:p>
    <w:p w14:paraId="434C3E07" w14:textId="6A365512" w:rsidR="00496E6B" w:rsidRDefault="00496E6B" w:rsidP="00496E6B">
      <w:r>
        <w:t>The Government is temporarily reducing superannuatio</w:t>
      </w:r>
      <w:r w:rsidR="00CE4786">
        <w:t>n minimum drawdown requirements</w:t>
      </w:r>
      <w:r w:rsidR="005B0104">
        <w:t xml:space="preserve"> for account</w:t>
      </w:r>
      <w:r w:rsidR="002454D0">
        <w:noBreakHyphen/>
      </w:r>
      <w:r>
        <w:t xml:space="preserve">based pensions and similar </w:t>
      </w:r>
      <w:r w:rsidRPr="00590026">
        <w:t>products by 50 per cent for</w:t>
      </w:r>
      <w:r w:rsidR="00406BCF" w:rsidRPr="00590026">
        <w:t xml:space="preserve"> the</w:t>
      </w:r>
      <w:r w:rsidRPr="00590026">
        <w:t xml:space="preserve"> 2019</w:t>
      </w:r>
      <w:r w:rsidR="002454D0">
        <w:noBreakHyphen/>
      </w:r>
      <w:r w:rsidRPr="00590026">
        <w:t>20</w:t>
      </w:r>
      <w:r w:rsidR="00C37249" w:rsidRPr="00590026">
        <w:t xml:space="preserve"> and 2020</w:t>
      </w:r>
      <w:r w:rsidR="002454D0">
        <w:noBreakHyphen/>
      </w:r>
      <w:r w:rsidR="00C37249" w:rsidRPr="00590026">
        <w:t>21</w:t>
      </w:r>
      <w:r w:rsidR="00406BCF" w:rsidRPr="00590026">
        <w:t xml:space="preserve"> income years</w:t>
      </w:r>
      <w:r w:rsidRPr="00590026">
        <w:t>.</w:t>
      </w:r>
      <w:r>
        <w:t xml:space="preserve"> </w:t>
      </w:r>
    </w:p>
    <w:p w14:paraId="5EF45813" w14:textId="26978276" w:rsidR="00496E6B" w:rsidRDefault="0060219A" w:rsidP="00496E6B">
      <w:r>
        <w:t>The Government is</w:t>
      </w:r>
      <w:r w:rsidR="0018526B">
        <w:t xml:space="preserve"> also</w:t>
      </w:r>
      <w:r>
        <w:t xml:space="preserve"> reducing both the upper and lower social security deeming rates by </w:t>
      </w:r>
      <w:r w:rsidR="00976711">
        <w:t xml:space="preserve">a further </w:t>
      </w:r>
      <w:r>
        <w:t>0.</w:t>
      </w:r>
      <w:r w:rsidR="009568FE">
        <w:t>25</w:t>
      </w:r>
      <w:r w:rsidR="00533DAA">
        <w:t> </w:t>
      </w:r>
      <w:r>
        <w:t>percent</w:t>
      </w:r>
      <w:r w:rsidR="0018526B">
        <w:t>age points</w:t>
      </w:r>
      <w:r w:rsidR="00976711">
        <w:t xml:space="preserve"> in addition to the 0.5 percent</w:t>
      </w:r>
      <w:r w:rsidR="0018526B">
        <w:t>age point</w:t>
      </w:r>
      <w:r w:rsidR="00976711">
        <w:t xml:space="preserve"> reduction to both rates</w:t>
      </w:r>
      <w:r w:rsidR="00D20836">
        <w:t xml:space="preserve"> announced on 12 March </w:t>
      </w:r>
      <w:r w:rsidR="0098608A">
        <w:t>2020</w:t>
      </w:r>
      <w:r>
        <w:t>.</w:t>
      </w:r>
    </w:p>
    <w:p w14:paraId="5EE3C052" w14:textId="77777777" w:rsidR="00496E6B" w:rsidRDefault="00496E6B" w:rsidP="00496E6B">
      <w:pPr>
        <w:pStyle w:val="Heading2"/>
      </w:pPr>
      <w:r>
        <w:t>Temporary reduction in superannuation minimum drawdown requirements</w:t>
      </w:r>
    </w:p>
    <w:p w14:paraId="6255E773" w14:textId="2BB66B1E" w:rsidR="00496E6B" w:rsidRDefault="00496E6B" w:rsidP="00496E6B">
      <w:r>
        <w:t>This measure will benefit retirees with account</w:t>
      </w:r>
      <w:r w:rsidR="002454D0">
        <w:noBreakHyphen/>
      </w:r>
      <w:r>
        <w:t>based pensions and similar products by reducing the need to sell investment assets to fund minimum drawdown requirements.</w:t>
      </w:r>
    </w:p>
    <w:p w14:paraId="66783BB5" w14:textId="494E3971" w:rsidR="00304C16" w:rsidRDefault="00496E6B" w:rsidP="00496E6B">
      <w:r>
        <w:t>The reduction applies for t</w:t>
      </w:r>
      <w:r w:rsidRPr="00590026">
        <w:t>he 2019</w:t>
      </w:r>
      <w:r w:rsidR="002454D0">
        <w:noBreakHyphen/>
      </w:r>
      <w:r w:rsidRPr="00590026">
        <w:t>20</w:t>
      </w:r>
      <w:r w:rsidR="00E97D6F" w:rsidRPr="00590026">
        <w:t xml:space="preserve"> and 2020</w:t>
      </w:r>
      <w:r w:rsidR="002454D0">
        <w:noBreakHyphen/>
      </w:r>
      <w:r w:rsidR="00E97D6F" w:rsidRPr="00590026">
        <w:t>21</w:t>
      </w:r>
      <w:r w:rsidRPr="00590026">
        <w:t xml:space="preserve"> income year</w:t>
      </w:r>
      <w:r w:rsidR="00E97D6F" w:rsidRPr="00590026">
        <w:t>s</w:t>
      </w:r>
      <w:r w:rsidRPr="00590026">
        <w:t>.</w:t>
      </w:r>
      <w:r>
        <w:t xml:space="preserve"> </w:t>
      </w:r>
    </w:p>
    <w:tbl>
      <w:tblPr>
        <w:tblW w:w="5000" w:type="pct"/>
        <w:tblInd w:w="-15" w:type="dxa"/>
        <w:tblBorders>
          <w:top w:val="single" w:sz="4" w:space="0" w:color="00827F" w:themeColor="accent3"/>
          <w:left w:val="single" w:sz="4" w:space="0" w:color="00827F" w:themeColor="accent3"/>
          <w:bottom w:val="single" w:sz="4" w:space="0" w:color="00827F" w:themeColor="accent3"/>
          <w:right w:val="single" w:sz="4" w:space="0" w:color="00827F" w:themeColor="accent3"/>
          <w:insideH w:val="single" w:sz="4" w:space="0" w:color="00827F" w:themeColor="accent3"/>
          <w:insideV w:val="single" w:sz="4" w:space="0" w:color="00827F" w:themeColor="accent3"/>
        </w:tblBorders>
        <w:tblLook w:val="01E0" w:firstRow="1" w:lastRow="1" w:firstColumn="1" w:lastColumn="1" w:noHBand="0" w:noVBand="0"/>
      </w:tblPr>
      <w:tblGrid>
        <w:gridCol w:w="1995"/>
        <w:gridCol w:w="2686"/>
        <w:gridCol w:w="4947"/>
      </w:tblGrid>
      <w:tr w:rsidR="002454D0" w:rsidRPr="002454D0" w14:paraId="22F05AD9" w14:textId="59D3B340" w:rsidTr="002454D0">
        <w:trPr>
          <w:trHeight w:val="516"/>
        </w:trPr>
        <w:tc>
          <w:tcPr>
            <w:tcW w:w="1995" w:type="dxa"/>
            <w:shd w:val="clear" w:color="auto" w:fill="00827F" w:themeFill="accent3"/>
            <w:hideMark/>
          </w:tcPr>
          <w:p w14:paraId="2D977016" w14:textId="77777777" w:rsidR="00C37249" w:rsidRPr="002454D0" w:rsidRDefault="00C37249" w:rsidP="002454D0">
            <w:pPr>
              <w:pStyle w:val="TableColumnHeadingCentred"/>
              <w:spacing w:line="256" w:lineRule="auto"/>
              <w:jc w:val="left"/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>Age</w:t>
            </w:r>
          </w:p>
        </w:tc>
        <w:tc>
          <w:tcPr>
            <w:tcW w:w="2686" w:type="dxa"/>
            <w:shd w:val="clear" w:color="auto" w:fill="00827F" w:themeFill="accent3"/>
            <w:hideMark/>
          </w:tcPr>
          <w:p w14:paraId="25B3D3F6" w14:textId="77777777" w:rsidR="00C37249" w:rsidRPr="002454D0" w:rsidRDefault="00C37249" w:rsidP="000210AB">
            <w:pPr>
              <w:pStyle w:val="TableColumnHeadingCentred"/>
              <w:spacing w:line="256" w:lineRule="auto"/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 xml:space="preserve">Default minimum drawdown rates (%) </w:t>
            </w:r>
          </w:p>
        </w:tc>
        <w:tc>
          <w:tcPr>
            <w:tcW w:w="4947" w:type="dxa"/>
            <w:shd w:val="clear" w:color="auto" w:fill="00827F" w:themeFill="accent3"/>
            <w:hideMark/>
          </w:tcPr>
          <w:p w14:paraId="7ED74148" w14:textId="2B54A55E" w:rsidR="00C37249" w:rsidRPr="002454D0" w:rsidRDefault="00C37249" w:rsidP="000210AB">
            <w:pPr>
              <w:pStyle w:val="TableColumnHeadingCentred"/>
              <w:spacing w:line="256" w:lineRule="auto"/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>Reduced rates by 50 per cent for the 2019</w:t>
            </w:r>
            <w:r w:rsid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noBreakHyphen/>
            </w:r>
            <w:r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>20 and 2020</w:t>
            </w:r>
            <w:r w:rsid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noBreakHyphen/>
            </w:r>
            <w:r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>21 income year</w:t>
            </w:r>
            <w:r w:rsidR="00406BCF"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>s</w:t>
            </w:r>
            <w:r w:rsidRPr="002454D0">
              <w:rPr>
                <w:rFonts w:cstheme="minorHAnsi"/>
                <w:color w:val="FFFFFF" w:themeColor="background1"/>
                <w:sz w:val="22"/>
                <w:szCs w:val="22"/>
                <w:lang w:eastAsia="en-US"/>
              </w:rPr>
              <w:t xml:space="preserve"> (%) </w:t>
            </w:r>
          </w:p>
        </w:tc>
      </w:tr>
      <w:tr w:rsidR="00C37249" w14:paraId="46C7F5ED" w14:textId="7EA63981" w:rsidTr="002454D0">
        <w:trPr>
          <w:trHeight w:val="345"/>
        </w:trPr>
        <w:tc>
          <w:tcPr>
            <w:tcW w:w="1995" w:type="dxa"/>
            <w:shd w:val="clear" w:color="auto" w:fill="auto"/>
            <w:hideMark/>
          </w:tcPr>
          <w:p w14:paraId="79D9FBB0" w14:textId="77777777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Under 65</w:t>
            </w:r>
          </w:p>
        </w:tc>
        <w:tc>
          <w:tcPr>
            <w:tcW w:w="2686" w:type="dxa"/>
            <w:shd w:val="clear" w:color="auto" w:fill="auto"/>
            <w:hideMark/>
          </w:tcPr>
          <w:p w14:paraId="3A998C5E" w14:textId="77777777" w:rsidR="00C37249" w:rsidRDefault="00C37249" w:rsidP="002454D0">
            <w:pPr>
              <w:pStyle w:val="TableTextRight"/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47" w:type="dxa"/>
            <w:shd w:val="clear" w:color="auto" w:fill="auto"/>
            <w:hideMark/>
          </w:tcPr>
          <w:p w14:paraId="2FAACEB0" w14:textId="77777777" w:rsidR="00C37249" w:rsidRDefault="00C37249" w:rsidP="002454D0">
            <w:pPr>
              <w:pStyle w:val="TableTextRight"/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C37249" w14:paraId="7DA0113E" w14:textId="020392D0" w:rsidTr="002454D0">
        <w:trPr>
          <w:trHeight w:val="360"/>
        </w:trPr>
        <w:tc>
          <w:tcPr>
            <w:tcW w:w="1995" w:type="dxa"/>
            <w:shd w:val="clear" w:color="auto" w:fill="auto"/>
            <w:hideMark/>
          </w:tcPr>
          <w:p w14:paraId="00326396" w14:textId="11715EF3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65</w:t>
            </w:r>
            <w:r w:rsidR="002454D0">
              <w:rPr>
                <w:rFonts w:cstheme="minorHAnsi"/>
                <w:color w:val="auto"/>
                <w:sz w:val="22"/>
                <w:szCs w:val="22"/>
                <w:lang w:eastAsia="en-US"/>
              </w:rPr>
              <w:noBreakHyphen/>
            </w: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686" w:type="dxa"/>
            <w:shd w:val="clear" w:color="auto" w:fill="auto"/>
            <w:hideMark/>
          </w:tcPr>
          <w:p w14:paraId="282326D8" w14:textId="77777777" w:rsidR="00C37249" w:rsidRDefault="00C37249" w:rsidP="002454D0">
            <w:pPr>
              <w:pStyle w:val="TableTextRight"/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47" w:type="dxa"/>
            <w:shd w:val="clear" w:color="auto" w:fill="auto"/>
            <w:hideMark/>
          </w:tcPr>
          <w:p w14:paraId="6795EC88" w14:textId="77777777" w:rsidR="00C37249" w:rsidRDefault="00C37249" w:rsidP="002454D0">
            <w:pPr>
              <w:pStyle w:val="TableTextRight"/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2.5</w:t>
            </w:r>
          </w:p>
        </w:tc>
      </w:tr>
      <w:tr w:rsidR="00C37249" w14:paraId="6611E487" w14:textId="7134D386" w:rsidTr="002454D0">
        <w:trPr>
          <w:trHeight w:val="345"/>
        </w:trPr>
        <w:tc>
          <w:tcPr>
            <w:tcW w:w="1995" w:type="dxa"/>
            <w:shd w:val="clear" w:color="auto" w:fill="auto"/>
            <w:hideMark/>
          </w:tcPr>
          <w:p w14:paraId="00C270B0" w14:textId="4B762345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75</w:t>
            </w:r>
            <w:r w:rsidR="002454D0">
              <w:rPr>
                <w:rFonts w:cstheme="minorHAnsi"/>
                <w:color w:val="auto"/>
                <w:sz w:val="22"/>
                <w:szCs w:val="22"/>
                <w:lang w:eastAsia="en-US"/>
              </w:rPr>
              <w:noBreakHyphen/>
            </w: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686" w:type="dxa"/>
            <w:shd w:val="clear" w:color="auto" w:fill="auto"/>
            <w:hideMark/>
          </w:tcPr>
          <w:p w14:paraId="3E69B879" w14:textId="77777777" w:rsidR="00C37249" w:rsidRDefault="00C37249" w:rsidP="002454D0">
            <w:pPr>
              <w:pStyle w:val="TableTextRight"/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47" w:type="dxa"/>
            <w:shd w:val="clear" w:color="auto" w:fill="auto"/>
            <w:hideMark/>
          </w:tcPr>
          <w:p w14:paraId="78D6DE0F" w14:textId="77777777" w:rsidR="00C37249" w:rsidRDefault="00C37249" w:rsidP="002454D0">
            <w:pPr>
              <w:pStyle w:val="TableTextRight"/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C37249" w14:paraId="754A5E80" w14:textId="0FBD72AD" w:rsidTr="002454D0">
        <w:trPr>
          <w:trHeight w:val="345"/>
        </w:trPr>
        <w:tc>
          <w:tcPr>
            <w:tcW w:w="1995" w:type="dxa"/>
            <w:shd w:val="clear" w:color="auto" w:fill="auto"/>
            <w:hideMark/>
          </w:tcPr>
          <w:p w14:paraId="5778EB47" w14:textId="78713FA8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80</w:t>
            </w:r>
            <w:r w:rsidR="002454D0">
              <w:rPr>
                <w:rFonts w:cstheme="minorHAnsi"/>
                <w:color w:val="auto"/>
                <w:sz w:val="22"/>
                <w:szCs w:val="22"/>
                <w:lang w:eastAsia="en-US"/>
              </w:rPr>
              <w:noBreakHyphen/>
            </w: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86" w:type="dxa"/>
            <w:shd w:val="clear" w:color="auto" w:fill="auto"/>
            <w:hideMark/>
          </w:tcPr>
          <w:p w14:paraId="54E6F3A2" w14:textId="77777777" w:rsidR="00C37249" w:rsidRDefault="00C37249" w:rsidP="002454D0">
            <w:pPr>
              <w:pStyle w:val="TableTextRight"/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47" w:type="dxa"/>
            <w:shd w:val="clear" w:color="auto" w:fill="auto"/>
            <w:hideMark/>
          </w:tcPr>
          <w:p w14:paraId="3B1D7CD2" w14:textId="77777777" w:rsidR="00C37249" w:rsidRDefault="00C37249" w:rsidP="002454D0">
            <w:pPr>
              <w:pStyle w:val="TableTextRight"/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3.5</w:t>
            </w:r>
          </w:p>
        </w:tc>
      </w:tr>
      <w:tr w:rsidR="00C37249" w14:paraId="49F50D60" w14:textId="2C7AF294" w:rsidTr="002454D0">
        <w:trPr>
          <w:trHeight w:val="345"/>
        </w:trPr>
        <w:tc>
          <w:tcPr>
            <w:tcW w:w="1995" w:type="dxa"/>
            <w:shd w:val="clear" w:color="auto" w:fill="auto"/>
            <w:hideMark/>
          </w:tcPr>
          <w:p w14:paraId="41184904" w14:textId="4F91253C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85</w:t>
            </w:r>
            <w:r w:rsidR="002454D0">
              <w:rPr>
                <w:rFonts w:cstheme="minorHAnsi"/>
                <w:color w:val="auto"/>
                <w:sz w:val="22"/>
                <w:szCs w:val="22"/>
                <w:lang w:eastAsia="en-US"/>
              </w:rPr>
              <w:noBreakHyphen/>
            </w: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86" w:type="dxa"/>
            <w:shd w:val="clear" w:color="auto" w:fill="auto"/>
            <w:hideMark/>
          </w:tcPr>
          <w:p w14:paraId="5BB5E350" w14:textId="79B67418" w:rsidR="00C37249" w:rsidRDefault="00C37249" w:rsidP="002454D0">
            <w:pPr>
              <w:pStyle w:val="TableTextRight"/>
              <w:tabs>
                <w:tab w:val="center" w:pos="835"/>
                <w:tab w:val="right" w:pos="1670"/>
              </w:tabs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47" w:type="dxa"/>
            <w:shd w:val="clear" w:color="auto" w:fill="auto"/>
            <w:hideMark/>
          </w:tcPr>
          <w:p w14:paraId="6BDE4B20" w14:textId="77777777" w:rsidR="00C37249" w:rsidRDefault="00C37249" w:rsidP="002454D0">
            <w:pPr>
              <w:pStyle w:val="TableTextRight"/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4.5</w:t>
            </w:r>
          </w:p>
        </w:tc>
      </w:tr>
      <w:tr w:rsidR="00C37249" w14:paraId="21E65C87" w14:textId="0C61A7F6" w:rsidTr="002454D0">
        <w:trPr>
          <w:trHeight w:val="345"/>
        </w:trPr>
        <w:tc>
          <w:tcPr>
            <w:tcW w:w="1995" w:type="dxa"/>
            <w:shd w:val="clear" w:color="auto" w:fill="auto"/>
            <w:hideMark/>
          </w:tcPr>
          <w:p w14:paraId="590EF45D" w14:textId="6BAD0DBD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90</w:t>
            </w:r>
            <w:r w:rsidR="002454D0">
              <w:rPr>
                <w:rFonts w:cstheme="minorHAnsi"/>
                <w:color w:val="auto"/>
                <w:sz w:val="22"/>
                <w:szCs w:val="22"/>
                <w:lang w:eastAsia="en-US"/>
              </w:rPr>
              <w:noBreakHyphen/>
            </w: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86" w:type="dxa"/>
            <w:shd w:val="clear" w:color="auto" w:fill="auto"/>
            <w:hideMark/>
          </w:tcPr>
          <w:p w14:paraId="2DC1817B" w14:textId="77777777" w:rsidR="00C37249" w:rsidRDefault="00C37249" w:rsidP="002454D0">
            <w:pPr>
              <w:pStyle w:val="TableTextRight"/>
              <w:tabs>
                <w:tab w:val="center" w:pos="835"/>
                <w:tab w:val="right" w:pos="1670"/>
              </w:tabs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47" w:type="dxa"/>
            <w:shd w:val="clear" w:color="auto" w:fill="auto"/>
            <w:hideMark/>
          </w:tcPr>
          <w:p w14:paraId="73912286" w14:textId="77777777" w:rsidR="00C37249" w:rsidRDefault="00C37249" w:rsidP="002454D0">
            <w:pPr>
              <w:pStyle w:val="TableTextRight"/>
              <w:tabs>
                <w:tab w:val="center" w:pos="835"/>
                <w:tab w:val="right" w:pos="1670"/>
              </w:tabs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5.5</w:t>
            </w:r>
          </w:p>
        </w:tc>
      </w:tr>
      <w:tr w:rsidR="00C37249" w14:paraId="2FFC4635" w14:textId="6A3A4E94" w:rsidTr="002454D0">
        <w:trPr>
          <w:trHeight w:val="360"/>
        </w:trPr>
        <w:tc>
          <w:tcPr>
            <w:tcW w:w="1995" w:type="dxa"/>
            <w:shd w:val="clear" w:color="auto" w:fill="auto"/>
            <w:hideMark/>
          </w:tcPr>
          <w:p w14:paraId="1D78659C" w14:textId="77777777" w:rsidR="00C37249" w:rsidRDefault="00C37249" w:rsidP="000210AB">
            <w:pPr>
              <w:pStyle w:val="TableColumnHeadingLeft"/>
              <w:spacing w:line="256" w:lineRule="auto"/>
              <w:rPr>
                <w:rFonts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auto"/>
                <w:sz w:val="22"/>
                <w:szCs w:val="22"/>
                <w:lang w:eastAsia="en-US"/>
              </w:rPr>
              <w:t>95 or more</w:t>
            </w:r>
          </w:p>
        </w:tc>
        <w:tc>
          <w:tcPr>
            <w:tcW w:w="2686" w:type="dxa"/>
            <w:shd w:val="clear" w:color="auto" w:fill="auto"/>
            <w:hideMark/>
          </w:tcPr>
          <w:p w14:paraId="2EDEDED9" w14:textId="77777777" w:rsidR="00C37249" w:rsidRDefault="00C37249" w:rsidP="002454D0">
            <w:pPr>
              <w:pStyle w:val="TableTextRight"/>
              <w:tabs>
                <w:tab w:val="center" w:pos="835"/>
                <w:tab w:val="right" w:pos="1670"/>
              </w:tabs>
              <w:spacing w:line="256" w:lineRule="auto"/>
              <w:ind w:right="382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47" w:type="dxa"/>
            <w:shd w:val="clear" w:color="auto" w:fill="auto"/>
            <w:hideMark/>
          </w:tcPr>
          <w:p w14:paraId="3718081E" w14:textId="77777777" w:rsidR="00C37249" w:rsidRDefault="00C37249" w:rsidP="002454D0">
            <w:pPr>
              <w:pStyle w:val="TableTextRight"/>
              <w:tabs>
                <w:tab w:val="center" w:pos="835"/>
                <w:tab w:val="right" w:pos="1670"/>
              </w:tabs>
              <w:spacing w:line="256" w:lineRule="auto"/>
              <w:ind w:right="439"/>
              <w:jc w:val="center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7</w:t>
            </w:r>
          </w:p>
        </w:tc>
      </w:tr>
    </w:tbl>
    <w:p w14:paraId="2EC61C4A" w14:textId="5DCB0DDD" w:rsidR="009568FE" w:rsidRDefault="00496E6B" w:rsidP="00496E6B">
      <w:r>
        <w:t>This measure will have no impact on the underlying cash balance for 2019</w:t>
      </w:r>
      <w:r w:rsidR="002454D0">
        <w:noBreakHyphen/>
      </w:r>
      <w:r>
        <w:t>20</w:t>
      </w:r>
      <w:r w:rsidR="00C37249">
        <w:t xml:space="preserve"> </w:t>
      </w:r>
      <w:r w:rsidR="00394B70" w:rsidRPr="00590026">
        <w:t>and</w:t>
      </w:r>
      <w:r w:rsidR="00C37249" w:rsidRPr="00590026">
        <w:t xml:space="preserve"> a </w:t>
      </w:r>
      <w:r w:rsidR="007511BE" w:rsidRPr="00590026">
        <w:t>negligible</w:t>
      </w:r>
      <w:r w:rsidR="00C37249" w:rsidRPr="00590026">
        <w:t xml:space="preserve"> impact in 2020</w:t>
      </w:r>
      <w:r w:rsidR="002454D0">
        <w:noBreakHyphen/>
      </w:r>
      <w:r w:rsidR="00C37249" w:rsidRPr="00590026">
        <w:t>21</w:t>
      </w:r>
      <w:r w:rsidRPr="0059002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7B2169" w14:paraId="4263499D" w14:textId="77777777" w:rsidTr="000210AB">
        <w:tc>
          <w:tcPr>
            <w:tcW w:w="9629" w:type="dxa"/>
            <w:shd w:val="clear" w:color="auto" w:fill="D7E1E1"/>
            <w:hideMark/>
          </w:tcPr>
          <w:p w14:paraId="6BDB2A07" w14:textId="1107A2DB" w:rsidR="00E97D6F" w:rsidRPr="009F4A14" w:rsidRDefault="00E97D6F" w:rsidP="009F4A14">
            <w:pPr>
              <w:pStyle w:val="Boxheading"/>
            </w:pPr>
            <w:r w:rsidRPr="009F4A14">
              <w:t>Mike is a 66 year old retiree with a superannuation account</w:t>
            </w:r>
            <w:r w:rsidR="002454D0">
              <w:noBreakHyphen/>
            </w:r>
            <w:r w:rsidRPr="009F4A14">
              <w:t xml:space="preserve">based pension </w:t>
            </w:r>
          </w:p>
          <w:p w14:paraId="7954ECC6" w14:textId="6AF3681A" w:rsidR="007B4326" w:rsidRPr="00590026" w:rsidRDefault="007B2169" w:rsidP="0019579C">
            <w:r w:rsidRPr="00590026">
              <w:t>The value of Mike</w:t>
            </w:r>
            <w:r w:rsidR="002454D0">
              <w:t>’</w:t>
            </w:r>
            <w:r w:rsidRPr="00590026">
              <w:t>s account</w:t>
            </w:r>
            <w:r w:rsidR="002454D0">
              <w:noBreakHyphen/>
            </w:r>
            <w:r w:rsidRPr="00590026">
              <w:t>based pension at 1 July 2019 was $200,000.</w:t>
            </w:r>
            <w:r w:rsidR="007B4326" w:rsidRPr="00590026">
              <w:t xml:space="preserve"> </w:t>
            </w:r>
            <w:r w:rsidRPr="00590026">
              <w:t>Under current minimum drawdown r</w:t>
            </w:r>
            <w:r w:rsidR="00D20836" w:rsidRPr="00590026">
              <w:t>equirements</w:t>
            </w:r>
            <w:r w:rsidRPr="00590026">
              <w:t>, Mike is required by legislation to drawdown 5</w:t>
            </w:r>
            <w:r w:rsidR="00394B70" w:rsidRPr="00590026">
              <w:t> </w:t>
            </w:r>
            <w:r w:rsidRPr="00590026">
              <w:t>per cent of his account balance over the course of the 2019</w:t>
            </w:r>
            <w:r w:rsidR="002454D0">
              <w:noBreakHyphen/>
            </w:r>
            <w:r w:rsidRPr="00590026">
              <w:t>20</w:t>
            </w:r>
            <w:r w:rsidR="00C37249" w:rsidRPr="00590026">
              <w:t xml:space="preserve"> and 2020</w:t>
            </w:r>
            <w:r w:rsidR="002454D0">
              <w:noBreakHyphen/>
            </w:r>
            <w:r w:rsidR="00C37249" w:rsidRPr="00590026">
              <w:t>21</w:t>
            </w:r>
            <w:r w:rsidRPr="00590026">
              <w:t xml:space="preserve"> income year</w:t>
            </w:r>
            <w:r w:rsidR="00E41CDB" w:rsidRPr="00590026">
              <w:t>s</w:t>
            </w:r>
            <w:r w:rsidRPr="00590026">
              <w:t xml:space="preserve">. </w:t>
            </w:r>
          </w:p>
          <w:p w14:paraId="2DC361D9" w14:textId="5799E489" w:rsidR="007B2169" w:rsidRPr="00590026" w:rsidRDefault="007B2169" w:rsidP="0019579C">
            <w:r w:rsidRPr="00590026">
              <w:t>This means Mike has to drawdown $10,000 by 30 June 2020</w:t>
            </w:r>
            <w:r w:rsidR="00C37249" w:rsidRPr="00590026">
              <w:t xml:space="preserve"> </w:t>
            </w:r>
            <w:r w:rsidRPr="00590026">
              <w:t>to comply with the minimum drawdown r</w:t>
            </w:r>
            <w:r w:rsidR="00547C73" w:rsidRPr="00590026">
              <w:t>equirements</w:t>
            </w:r>
            <w:r w:rsidRPr="00590026">
              <w:t>.</w:t>
            </w:r>
            <w:r w:rsidR="007B4326" w:rsidRPr="00590026">
              <w:t xml:space="preserve"> </w:t>
            </w:r>
          </w:p>
          <w:p w14:paraId="54B8A250" w14:textId="0F27C837" w:rsidR="007B4326" w:rsidRPr="00590026" w:rsidRDefault="007B2169" w:rsidP="007B4326">
            <w:r w:rsidRPr="00590026">
              <w:t>Following the temporary reduction in minimum drawdown r</w:t>
            </w:r>
            <w:r w:rsidR="00D20836" w:rsidRPr="00590026">
              <w:t>equirements</w:t>
            </w:r>
            <w:r w:rsidRPr="00590026">
              <w:t>, Mike will now only be required to drawdown 2.5 per cent of his account</w:t>
            </w:r>
            <w:r w:rsidR="00547C73" w:rsidRPr="00590026">
              <w:t xml:space="preserve"> balance</w:t>
            </w:r>
            <w:r w:rsidRPr="00590026">
              <w:t>, that is, $5,000</w:t>
            </w:r>
            <w:r w:rsidR="00C03014">
              <w:t>,</w:t>
            </w:r>
            <w:r w:rsidRPr="00590026">
              <w:t xml:space="preserve"> by 30 June 2020</w:t>
            </w:r>
            <w:r w:rsidR="007B4326" w:rsidRPr="00590026">
              <w:t>. If Mike has already withdrawn over $5,000 for 2019</w:t>
            </w:r>
            <w:r w:rsidR="002454D0">
              <w:noBreakHyphen/>
            </w:r>
            <w:r w:rsidR="007B4326" w:rsidRPr="00590026">
              <w:t>20, he is not able to put the amount above $5,000 back into his superannuation</w:t>
            </w:r>
            <w:r w:rsidR="00533DAA">
              <w:t xml:space="preserve"> account.</w:t>
            </w:r>
            <w:r w:rsidR="00C31501">
              <w:t xml:space="preserve"> </w:t>
            </w:r>
          </w:p>
          <w:p w14:paraId="7A424F65" w14:textId="7A64FC18" w:rsidR="007B4326" w:rsidRPr="00590026" w:rsidRDefault="007B4326" w:rsidP="007B4326">
            <w:r w:rsidRPr="00590026">
              <w:lastRenderedPageBreak/>
              <w:t>On 1 July 2020 the value of Mike</w:t>
            </w:r>
            <w:r w:rsidR="002454D0">
              <w:t>’</w:t>
            </w:r>
            <w:r w:rsidRPr="00590026">
              <w:t>s account</w:t>
            </w:r>
            <w:r w:rsidR="002454D0">
              <w:noBreakHyphen/>
            </w:r>
            <w:r w:rsidRPr="00590026">
              <w:t>based pension is $1</w:t>
            </w:r>
            <w:r w:rsidR="004264A1" w:rsidRPr="00590026">
              <w:t>8</w:t>
            </w:r>
            <w:r w:rsidRPr="00590026">
              <w:t>0,000 (after drawdowns</w:t>
            </w:r>
            <w:r w:rsidR="00C37249" w:rsidRPr="00590026">
              <w:t xml:space="preserve"> </w:t>
            </w:r>
            <w:r w:rsidR="00CC4B36" w:rsidRPr="00590026">
              <w:t xml:space="preserve">and </w:t>
            </w:r>
            <w:r w:rsidRPr="00590026">
              <w:t>investment losses)</w:t>
            </w:r>
            <w:r w:rsidR="001F51E7" w:rsidRPr="00590026">
              <w:t>.</w:t>
            </w:r>
            <w:r w:rsidR="00893264">
              <w:t xml:space="preserve"> During 2020-21,</w:t>
            </w:r>
            <w:r w:rsidR="001F51E7" w:rsidRPr="00590026">
              <w:t xml:space="preserve"> Mike is required to drawdown 2.5 per cent of h</w:t>
            </w:r>
            <w:r w:rsidR="004264A1" w:rsidRPr="00590026">
              <w:t>is account balance</w:t>
            </w:r>
            <w:r w:rsidR="005C07FC">
              <w:t>,</w:t>
            </w:r>
            <w:r w:rsidR="004264A1" w:rsidRPr="00590026">
              <w:t xml:space="preserve"> which is $4,</w:t>
            </w:r>
            <w:r w:rsidR="001F51E7" w:rsidRPr="00590026">
              <w:t>5</w:t>
            </w:r>
            <w:r w:rsidR="004264A1" w:rsidRPr="00590026">
              <w:t>0</w:t>
            </w:r>
            <w:r w:rsidR="001F51E7" w:rsidRPr="00590026">
              <w:t>0</w:t>
            </w:r>
            <w:r w:rsidR="005C07FC">
              <w:t>,</w:t>
            </w:r>
            <w:r w:rsidR="001F51E7" w:rsidRPr="00590026">
              <w:t xml:space="preserve"> instead of $</w:t>
            </w:r>
            <w:r w:rsidR="00C96B89" w:rsidRPr="00590026">
              <w:t>9</w:t>
            </w:r>
            <w:r w:rsidR="001F51E7" w:rsidRPr="00590026">
              <w:t>,</w:t>
            </w:r>
            <w:r w:rsidR="00C96B89" w:rsidRPr="00590026">
              <w:t>0</w:t>
            </w:r>
            <w:r w:rsidR="001F51E7" w:rsidRPr="00590026">
              <w:t>00.</w:t>
            </w:r>
          </w:p>
          <w:p w14:paraId="3B8D9A3F" w14:textId="1E6F8499" w:rsidR="007B2169" w:rsidRDefault="007B2169" w:rsidP="00E41CDB">
            <w:r w:rsidRPr="00590026">
              <w:t>As a result of this change</w:t>
            </w:r>
            <w:r w:rsidR="00E41CDB" w:rsidRPr="00590026">
              <w:t xml:space="preserve"> to minimum drawdown requirements</w:t>
            </w:r>
            <w:r w:rsidRPr="00590026">
              <w:t>, Mike is able to preserve his capital while still drawing an income from his superannuation</w:t>
            </w:r>
            <w:r w:rsidR="00E41CDB" w:rsidRPr="00590026">
              <w:t>.</w:t>
            </w:r>
            <w:r>
              <w:t xml:space="preserve"> </w:t>
            </w:r>
          </w:p>
        </w:tc>
      </w:tr>
    </w:tbl>
    <w:p w14:paraId="41A9B21B" w14:textId="77777777" w:rsidR="00496E6B" w:rsidRDefault="00496E6B" w:rsidP="009F4A14">
      <w:pPr>
        <w:pStyle w:val="Heading2"/>
      </w:pPr>
      <w:r>
        <w:lastRenderedPageBreak/>
        <w:t>Changes to social security deeming rates</w:t>
      </w:r>
    </w:p>
    <w:p w14:paraId="26229E30" w14:textId="46D2BAD1" w:rsidR="00496E6B" w:rsidRDefault="00496E6B" w:rsidP="00496E6B">
      <w:r>
        <w:t xml:space="preserve">As of 1 May 2020, the upper deeming rate will be 2.25 per cent and the lower deeming rate will be 0.25 per cent. The reductions reflect the </w:t>
      </w:r>
      <w:r w:rsidR="0018526B">
        <w:t xml:space="preserve">low interest rate environment and its </w:t>
      </w:r>
      <w:r>
        <w:t xml:space="preserve">impact on the income </w:t>
      </w:r>
      <w:r w:rsidR="000210AB">
        <w:t>from savings</w:t>
      </w:r>
      <w:r>
        <w:t xml:space="preserve">. </w:t>
      </w:r>
      <w:r w:rsidR="00F358A6">
        <w:t>The change will benefit around 9</w:t>
      </w:r>
      <w:r>
        <w:t>00,000 income support recip</w:t>
      </w:r>
      <w:r w:rsidR="003C0803">
        <w:t>ients, including around 565</w:t>
      </w:r>
      <w:bookmarkStart w:id="0" w:name="_GoBack"/>
      <w:bookmarkEnd w:id="0"/>
      <w:r w:rsidR="002454D0">
        <w:t>,000 </w:t>
      </w:r>
      <w:r w:rsidR="00533DAA">
        <w:t xml:space="preserve">people on the </w:t>
      </w:r>
      <w:r>
        <w:t>Age Pension who will, on average</w:t>
      </w:r>
      <w:r w:rsidR="00533DAA">
        <w:t>,</w:t>
      </w:r>
      <w:r>
        <w:t xml:space="preserve"> receive around $105 more </w:t>
      </w:r>
      <w:r w:rsidR="00406BCF">
        <w:t xml:space="preserve">from the </w:t>
      </w:r>
      <w:r>
        <w:t>Age Pension in the first full year</w:t>
      </w:r>
      <w:r w:rsidR="00533DAA">
        <w:t xml:space="preserve"> that</w:t>
      </w:r>
      <w:r>
        <w:t xml:space="preserve"> the reduced rates apply. </w:t>
      </w:r>
    </w:p>
    <w:p w14:paraId="191B4BE4" w14:textId="344097BD" w:rsidR="00496E6B" w:rsidRDefault="00496E6B" w:rsidP="00496E6B">
      <w:r>
        <w:t>The changes will be effective</w:t>
      </w:r>
      <w:r w:rsidR="00533DAA">
        <w:t xml:space="preserve"> from</w:t>
      </w:r>
      <w:r>
        <w:t xml:space="preserve"> 1 May 2020. This measure is expected to have a cost </w:t>
      </w:r>
      <w:r w:rsidR="00B85062">
        <w:t>of</w:t>
      </w:r>
      <w:r>
        <w:t xml:space="preserve"> $</w:t>
      </w:r>
      <w:r w:rsidR="00533DAA">
        <w:t>87</w:t>
      </w:r>
      <w:r w:rsidR="003C1442">
        <w:t>6</w:t>
      </w:r>
      <w:r w:rsidR="00533DAA">
        <w:t> </w:t>
      </w:r>
      <w:r>
        <w:t>million over the forward estimates.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496E6B" w14:paraId="5D7BFD09" w14:textId="77777777" w:rsidTr="00496E6B">
        <w:tc>
          <w:tcPr>
            <w:tcW w:w="9629" w:type="dxa"/>
            <w:shd w:val="clear" w:color="auto" w:fill="D7E1E1"/>
            <w:hideMark/>
          </w:tcPr>
          <w:p w14:paraId="42BA812E" w14:textId="370904E5" w:rsidR="00496E6B" w:rsidRPr="00C16911" w:rsidRDefault="00601D37" w:rsidP="009F4A14">
            <w:pPr>
              <w:pStyle w:val="Boxheading"/>
            </w:pPr>
            <w:r w:rsidRPr="00C16911">
              <w:t>Helen</w:t>
            </w:r>
            <w:r w:rsidR="00496E6B" w:rsidRPr="00C16911">
              <w:t xml:space="preserve"> is a single part</w:t>
            </w:r>
            <w:r w:rsidR="002454D0">
              <w:noBreakHyphen/>
            </w:r>
            <w:r w:rsidR="00496E6B" w:rsidRPr="00C16911">
              <w:t>rate age pensioner</w:t>
            </w:r>
          </w:p>
          <w:p w14:paraId="07FA94CF" w14:textId="556CC9A5" w:rsidR="00496E6B" w:rsidRDefault="00601D37" w:rsidP="0019579C">
            <w:r>
              <w:t>Helen</w:t>
            </w:r>
            <w:r w:rsidR="00496E6B">
              <w:t xml:space="preserve"> receives a single part</w:t>
            </w:r>
            <w:r w:rsidR="002454D0">
              <w:noBreakHyphen/>
            </w:r>
            <w:r w:rsidR="00496E6B">
              <w:t xml:space="preserve">rate Age Pension. </w:t>
            </w:r>
            <w:r>
              <w:t>She</w:t>
            </w:r>
            <w:r w:rsidR="00496E6B">
              <w:t xml:space="preserve"> has $200,000 in financial assets with $175,000 held in a term deposit which returns 1.5 per cent and the remainder in a cash transaction account earning a negligible rate of interest. </w:t>
            </w:r>
          </w:p>
          <w:p w14:paraId="332B8D89" w14:textId="0604D547" w:rsidR="00496E6B" w:rsidRDefault="00496E6B" w:rsidP="0019579C">
            <w:r>
              <w:t xml:space="preserve">Under the former deeming rates, </w:t>
            </w:r>
            <w:r w:rsidR="00601D37">
              <w:t>Helen</w:t>
            </w:r>
            <w:r w:rsidR="002454D0">
              <w:t>’</w:t>
            </w:r>
            <w:r w:rsidR="00601D37">
              <w:t>s</w:t>
            </w:r>
            <w:r>
              <w:t xml:space="preserve"> Age Pension would have been reduced by $8.50 per fortnight as </w:t>
            </w:r>
            <w:r w:rsidR="00601D37">
              <w:t>her</w:t>
            </w:r>
            <w:r>
              <w:t xml:space="preserve"> income was above the income test threshold. With the change in deeming rates </w:t>
            </w:r>
            <w:r w:rsidR="00601D37">
              <w:t>Helen</w:t>
            </w:r>
            <w:r>
              <w:t xml:space="preserve"> has less deemed income and will now be eligible for a </w:t>
            </w:r>
            <w:r w:rsidRPr="008E7B56">
              <w:rPr>
                <w:rStyle w:val="Hyperlink"/>
              </w:rPr>
              <w:t>maximum</w:t>
            </w:r>
            <w:r>
              <w:t xml:space="preserve"> rate Age Pension. </w:t>
            </w:r>
          </w:p>
          <w:p w14:paraId="28E18D6C" w14:textId="77777777" w:rsidR="00496E6B" w:rsidRPr="00C16911" w:rsidRDefault="00496E6B" w:rsidP="009F4A14">
            <w:pPr>
              <w:pStyle w:val="Boxheading"/>
            </w:pPr>
            <w:r w:rsidRPr="00C16911">
              <w:t>Leslie and Brian are an age pensioner couple</w:t>
            </w:r>
          </w:p>
          <w:p w14:paraId="6FFB3B1A" w14:textId="3F78C5E0" w:rsidR="00496E6B" w:rsidRDefault="00496E6B" w:rsidP="0019579C">
            <w:pPr>
              <w:rPr>
                <w:rFonts w:cstheme="minorHAnsi"/>
              </w:rPr>
            </w:pPr>
            <w:r>
              <w:rPr>
                <w:rFonts w:cstheme="minorHAnsi"/>
              </w:rPr>
              <w:t>Leslie and Brian are an age pensioner couple. They have $550,000 worth of financial assets. They hold $300,000 in a superannuation account with a conservative investment st</w:t>
            </w:r>
            <w:r w:rsidR="005B0104">
              <w:rPr>
                <w:rFonts w:cstheme="minorHAnsi"/>
              </w:rPr>
              <w:t>rategy which returned around 5</w:t>
            </w:r>
            <w:r w:rsidR="00533DA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per cent last year. They have invested $130,000 </w:t>
            </w:r>
            <w:r w:rsidR="00533DAA">
              <w:rPr>
                <w:rFonts w:cstheme="minorHAnsi"/>
              </w:rPr>
              <w:t xml:space="preserve">in a </w:t>
            </w:r>
            <w:r>
              <w:rPr>
                <w:rFonts w:cstheme="minorHAnsi"/>
              </w:rPr>
              <w:t xml:space="preserve">term deposit with an annual return of 1.5 per cent and hold the remainder in a cash transaction account earning a negligible rate of interest. </w:t>
            </w:r>
          </w:p>
          <w:p w14:paraId="1417509B" w14:textId="04C1A0E0" w:rsidR="00496E6B" w:rsidRDefault="00496E6B" w:rsidP="00D10D9B">
            <w:r>
              <w:rPr>
                <w:rFonts w:cstheme="minorHAnsi"/>
              </w:rPr>
              <w:t>Under the former deeming rates, Leslie and Brian</w:t>
            </w:r>
            <w:r w:rsidR="002454D0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Age Pension w</w:t>
            </w:r>
            <w:r w:rsidR="00601D37">
              <w:rPr>
                <w:rFonts w:cstheme="minorHAnsi"/>
              </w:rPr>
              <w:t>ould have been reduced by $65</w:t>
            </w:r>
            <w:r>
              <w:rPr>
                <w:rFonts w:cstheme="minorHAnsi"/>
              </w:rPr>
              <w:t xml:space="preserve"> each per fortnight. Under the new deeming rates, Leslie and Brian</w:t>
            </w:r>
            <w:r w:rsidR="002454D0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s Age Pension will only be reduced by around $32 each per fortnight. </w:t>
            </w:r>
          </w:p>
        </w:tc>
      </w:tr>
    </w:tbl>
    <w:p w14:paraId="12B92514" w14:textId="77777777" w:rsidR="00C16911" w:rsidRDefault="00C16911" w:rsidP="00C16911">
      <w:pPr>
        <w:pStyle w:val="Heading2"/>
        <w:rPr>
          <w:rFonts w:asciiTheme="minorHAnsi" w:eastAsiaTheme="minorEastAsia" w:hAnsiTheme="minorHAnsi" w:cs="Times New Roman"/>
          <w:caps w:val="0"/>
          <w:color w:val="auto"/>
          <w:sz w:val="22"/>
          <w:szCs w:val="20"/>
        </w:rPr>
      </w:pPr>
      <w:r>
        <w:t>for more information</w:t>
      </w:r>
    </w:p>
    <w:p w14:paraId="0904D4FB" w14:textId="69D2FE80" w:rsidR="00370813" w:rsidRPr="00314911" w:rsidRDefault="00C16911" w:rsidP="00314911">
      <w:r w:rsidRPr="00CB3672">
        <w:t>For more information on the Australian Government</w:t>
      </w:r>
      <w:r w:rsidR="002454D0">
        <w:t>’</w:t>
      </w:r>
      <w:r w:rsidRPr="00CB3672">
        <w:t xml:space="preserve">s Economic Response to </w:t>
      </w:r>
      <w:r w:rsidR="00B64889">
        <w:t xml:space="preserve">the Coronavirus visit </w:t>
      </w:r>
      <w:hyperlink r:id="rId13" w:history="1">
        <w:r w:rsidRPr="00866FB8">
          <w:rPr>
            <w:rStyle w:val="Hyperlink"/>
          </w:rPr>
          <w:t>treasury.gov.au/coronavirus</w:t>
        </w:r>
      </w:hyperlink>
      <w:r>
        <w:t>.</w:t>
      </w:r>
    </w:p>
    <w:sectPr w:rsidR="00370813" w:rsidRPr="00314911" w:rsidSect="000401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851" w:left="1134" w:header="851" w:footer="22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1615" w14:textId="77777777" w:rsidR="00944F3B" w:rsidRDefault="00944F3B" w:rsidP="00F3183C">
      <w:pPr>
        <w:spacing w:before="0" w:after="0"/>
      </w:pPr>
      <w:r>
        <w:separator/>
      </w:r>
    </w:p>
  </w:endnote>
  <w:endnote w:type="continuationSeparator" w:id="0">
    <w:p w14:paraId="524C91E2" w14:textId="77777777" w:rsidR="00944F3B" w:rsidRDefault="00944F3B" w:rsidP="00F3183C">
      <w:pPr>
        <w:spacing w:before="0" w:after="0"/>
      </w:pPr>
      <w:r>
        <w:continuationSeparator/>
      </w:r>
    </w:p>
  </w:endnote>
  <w:endnote w:type="continuationNotice" w:id="1">
    <w:p w14:paraId="416C8178" w14:textId="77777777" w:rsidR="00944F3B" w:rsidRDefault="00944F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C3B6" w14:textId="77777777" w:rsidR="002454D0" w:rsidRDefault="0024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31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F846A" w14:textId="3BB00F02" w:rsidR="00944F3B" w:rsidRDefault="00944F3B" w:rsidP="00CE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F317" w14:textId="77777777" w:rsidR="002454D0" w:rsidRDefault="0024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7E02" w14:textId="77777777" w:rsidR="00944F3B" w:rsidRDefault="00944F3B" w:rsidP="00F3183C">
      <w:pPr>
        <w:spacing w:before="0" w:after="0"/>
      </w:pPr>
      <w:r>
        <w:separator/>
      </w:r>
    </w:p>
  </w:footnote>
  <w:footnote w:type="continuationSeparator" w:id="0">
    <w:p w14:paraId="2655411B" w14:textId="77777777" w:rsidR="00944F3B" w:rsidRDefault="00944F3B" w:rsidP="00F3183C">
      <w:pPr>
        <w:spacing w:before="0" w:after="0"/>
      </w:pPr>
      <w:r>
        <w:continuationSeparator/>
      </w:r>
    </w:p>
  </w:footnote>
  <w:footnote w:type="continuationNotice" w:id="1">
    <w:p w14:paraId="7B0BADC9" w14:textId="77777777" w:rsidR="00944F3B" w:rsidRDefault="00944F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C6E4" w14:textId="77777777" w:rsidR="002454D0" w:rsidRDefault="00245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5E11" w14:textId="77777777" w:rsidR="002454D0" w:rsidRDefault="00245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BEDB" w14:textId="174BECC8" w:rsidR="00944F3B" w:rsidRPr="00F37BE7" w:rsidRDefault="00944F3B" w:rsidP="00040118">
    <w:pPr>
      <w:pStyle w:val="Header"/>
      <w:spacing w:before="840" w:after="360"/>
      <w:rPr>
        <w:rFonts w:asciiTheme="majorHAnsi" w:eastAsiaTheme="majorEastAsia" w:hAnsiTheme="majorHAnsi" w:cstheme="majorBidi"/>
        <w:noProof/>
        <w:color w:val="FFFFFF" w:themeColor="background1"/>
        <w:spacing w:val="-10"/>
        <w:kern w:val="28"/>
        <w:sz w:val="56"/>
        <w:szCs w:val="56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727FCE" wp14:editId="069DB983">
              <wp:simplePos x="0" y="0"/>
              <wp:positionH relativeFrom="margin">
                <wp:posOffset>2434590</wp:posOffset>
              </wp:positionH>
              <wp:positionV relativeFrom="paragraph">
                <wp:posOffset>-256540</wp:posOffset>
              </wp:positionV>
              <wp:extent cx="3705225" cy="609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EB83B" w14:textId="77777777" w:rsidR="00944F3B" w:rsidRDefault="00944F3B" w:rsidP="00040118">
                          <w:pPr>
                            <w:pStyle w:val="Title"/>
                            <w:jc w:val="right"/>
                            <w:rPr>
                              <w:sz w:val="32"/>
                            </w:rPr>
                          </w:pPr>
                          <w:r w:rsidRPr="00F37BE7">
                            <w:rPr>
                              <w:sz w:val="28"/>
                            </w:rPr>
                            <w:t>FACT SHEET</w:t>
                          </w:r>
                        </w:p>
                        <w:p w14:paraId="045EAAB2" w14:textId="77777777" w:rsidR="00944F3B" w:rsidRPr="00097646" w:rsidRDefault="00944F3B" w:rsidP="00040118">
                          <w:pPr>
                            <w:pStyle w:val="Title"/>
                            <w:jc w:val="right"/>
                            <w:rPr>
                              <w:sz w:val="52"/>
                            </w:rPr>
                          </w:pPr>
                          <w:r w:rsidRPr="00097646">
                            <w:rPr>
                              <w:b/>
                              <w:sz w:val="32"/>
                            </w:rPr>
                            <w:t>ECONOMIC RESPONSE TO THE CORONAVIRUS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27F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1.7pt;margin-top:-20.2pt;width:291.75pt;height:4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8tLQIAAFEEAAAOAAAAZHJzL2Uyb0RvYy54bWysVEtv2zAMvg/YfxB0X+w82wZxiqxFhgFF&#10;WyAZelZkKTYgiZqkxM5+/SjZSYNup2EXmSIpPr6P9OK+1YochfM1mIIOBzklwnAoa7Mv6I/t+sst&#10;JT4wUzIFRhT0JDy9X37+tGjsXIygAlUKRzCI8fPGFrQKwc6zzPNKaOYHYIVBowSnWcCr22elYw1G&#10;1yob5fksa8CV1gEX3qP2sTPSZYovpeDhRUovAlEFxdpCOl06d/HMlgs23ztmq5r3ZbB/qEKz2mDS&#10;S6hHFhg5uPqPULrmDjzIMOCgM5Cy5iL1gN0M8w/dbCpmReoFwfH2ApP/f2H58/HVkbos6JgSwzRS&#10;tBVtIF+hJeOITmP9HJ02Ft1Ci2pk+az3qIxNt9Lp+MV2CNoR59MF2xiMo3J8k09HoyklHG2z/G6W&#10;J/Cz99fW+fBNgCZRKKhD7hKk7PjkA1aCrmeXmMzAulYq8acMaTDoeJqnBxcLvlAGH8YeulqjFNpd&#10;2ze2g/KEfTno5sJbvq4x+RPz4ZU5HARsBYc7vOAhFWAS6CVKKnC//qaP/sgPWilpcLAK6n8emBOU&#10;qO8GmbsbTiZxEtNlMr0Z4cVdW3bXFnPQD4CzO8Q1sjyJ0T+osygd6DfcgVXMiiZmOOYuaDiLD6Eb&#10;d9whLlar5ISzZ1l4MhvLY+gIZ4R2274xZ3v8AzL3DOcRZPMPNHS+HRGrQwBZJ44iwB2qPe44t4m6&#10;fsfiYlzfk9f7n2D5GwAA//8DAFBLAwQUAAYACAAAACEAcyXmZ+IAAAAKAQAADwAAAGRycy9kb3du&#10;cmV2LnhtbEyPwU7DMAyG70i8Q2QkblvKtlZdqTtNlSYkBIeNXbi5jddWNElpsq3w9IQT3Gz50+/v&#10;zzeT7sWFR9dZg/Awj0Cwqa3qTINwfNvNUhDOk1HUW8MIX+xgU9ze5JQpezV7vhx8I0KIcRkhtN4P&#10;mZSublmTm9uBTbid7KjJh3VspBrpGsJ1LxdRlEhNnQkfWhq4bLn+OJw1wnO5e6V9tdDpd18+vZy2&#10;w+fxPUa8v5u2jyA8T/4Phl/9oA5FcKrs2SgneoRlulwFFGG2isIQiHWSrEFUCHGcgCxy+b9C8QMA&#10;AP//AwBQSwECLQAUAAYACAAAACEAtoM4kv4AAADhAQAAEwAAAAAAAAAAAAAAAAAAAAAAW0NvbnRl&#10;bnRfVHlwZXNdLnhtbFBLAQItABQABgAIAAAAIQA4/SH/1gAAAJQBAAALAAAAAAAAAAAAAAAAAC8B&#10;AABfcmVscy8ucmVsc1BLAQItABQABgAIAAAAIQCxTq8tLQIAAFEEAAAOAAAAAAAAAAAAAAAAAC4C&#10;AABkcnMvZTJvRG9jLnhtbFBLAQItABQABgAIAAAAIQBzJeZn4gAAAAoBAAAPAAAAAAAAAAAAAAAA&#10;AIcEAABkcnMvZG93bnJldi54bWxQSwUGAAAAAAQABADzAAAAlgUAAAAA&#10;" filled="f" stroked="f" strokeweight=".5pt">
              <v:textbox>
                <w:txbxContent>
                  <w:p w14:paraId="7D2EB83B" w14:textId="77777777" w:rsidR="00944F3B" w:rsidRDefault="00944F3B" w:rsidP="00040118">
                    <w:pPr>
                      <w:pStyle w:val="Title"/>
                      <w:jc w:val="right"/>
                      <w:rPr>
                        <w:sz w:val="32"/>
                      </w:rPr>
                    </w:pPr>
                    <w:r w:rsidRPr="00F37BE7">
                      <w:rPr>
                        <w:sz w:val="28"/>
                      </w:rPr>
                      <w:t>FACT SHEET</w:t>
                    </w:r>
                  </w:p>
                  <w:p w14:paraId="045EAAB2" w14:textId="77777777" w:rsidR="00944F3B" w:rsidRPr="00097646" w:rsidRDefault="00944F3B" w:rsidP="00040118">
                    <w:pPr>
                      <w:pStyle w:val="Title"/>
                      <w:jc w:val="right"/>
                      <w:rPr>
                        <w:sz w:val="52"/>
                      </w:rPr>
                    </w:pPr>
                    <w:r w:rsidRPr="00097646">
                      <w:rPr>
                        <w:b/>
                        <w:sz w:val="32"/>
                      </w:rPr>
                      <w:t>ECONOMIC RESPONSE TO THE CORONAVIRUS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lang w:eastAsia="en-AU"/>
      </w:rPr>
      <w:drawing>
        <wp:anchor distT="0" distB="0" distL="114300" distR="114300" simplePos="0" relativeHeight="251658243" behindDoc="0" locked="0" layoutInCell="1" allowOverlap="1" wp14:anchorId="6BE2887D" wp14:editId="6C9B2290">
          <wp:simplePos x="0" y="0"/>
          <wp:positionH relativeFrom="margin">
            <wp:posOffset>-28575</wp:posOffset>
          </wp:positionH>
          <wp:positionV relativeFrom="paragraph">
            <wp:posOffset>-227965</wp:posOffset>
          </wp:positionV>
          <wp:extent cx="2195830" cy="613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ustGovt_inli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7AE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89D198" wp14:editId="403A819F">
              <wp:simplePos x="0" y="0"/>
              <wp:positionH relativeFrom="page">
                <wp:posOffset>0</wp:posOffset>
              </wp:positionH>
              <wp:positionV relativeFrom="page">
                <wp:posOffset>-8890</wp:posOffset>
              </wp:positionV>
              <wp:extent cx="7559675" cy="1524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24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F3F1C" id="Rectangle 1" o:spid="_x0000_s1026" style="position:absolute;margin-left:0;margin-top:-.7pt;width:595.25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80gAIAAG8FAAAOAAAAZHJzL2Uyb0RvYy54bWysVE1PGzEQvVfqf7B8L5ukCZSIDYpAVJUQ&#10;IKDi7HjtxJLtccdONumv79i7SSjthaqXXY/n+80bX1xunWUbhdGAr/nwZMCZ8hIa45c1//588+kL&#10;ZzEJ3wgLXtV8pyK/nH38cNGGqRrBCmyjkFEQH6dtqPkqpTCtqihXyol4AkF5UmpAJxKJuKwaFC1F&#10;d7YaDQanVQvYBASpYqTb607JZyW+1kqme62jSszWnGpL5Yvlu8jfanYhpksUYWVkX4b4hyqcMJ6S&#10;HkJdiyTYGs0foZyRCBF0OpHgKtDaSFV6oG6GgzfdPK1EUKUXAieGA0zx/4WVd5sHZKah2XHmhaMR&#10;PRJowi+tYsMMTxvilKyewgP2UqRj7nWr0eU/dcG2BdLdAVK1TUzS5dlkcn56NuFMkm44GY0HgwJ6&#10;dXQPGNNXBY7lQ82R0hcoxeY2JkpJpnuTnC2CNc2NsbYImSfqyiLbCJqwkFL59DmXTV6/WVqf7T1k&#10;z06db6rcXddPOaWdVdnO+kelCZbSVpcIl4ucp+MOkZvYtGcQ5SoO2VBT/Hf69i7ZWxXKvtP/4FTy&#10;g08Hf2c8YAGzLNQRKJvKbKlw3dnvoegAyFgsoNkRNRC6nYlB3hga0K2I6UEgLQkBQIuf7umjLbQ1&#10;h/7E2Qrw59/usz1xl7SctbR0NY8/1gIVZ/abJ1afD8fjvKVFGE/ORiTga83itcav3RXQ1Im5VF05&#10;Zvtk90eN4F7ofZjnrKQSXlLumsuEe+EqdQOlF0aq+byY0WYGkW79U5A5eEY1E/B5+yIw9CxNRPA7&#10;2C+omL4ha2ebPT3M1wm0KUw+4trjTVtdqNq/QPnZeC0Xq+M7OfsFAAD//wMAUEsDBBQABgAIAAAA&#10;IQDqJq7C3QAAAAgBAAAPAAAAZHJzL2Rvd25yZXYueG1sTI/BTsMwEETvSPyDtUjcWjslVCVkUyEQ&#10;ByQQUPgAJ16SiHgd2W6T8vW4JziOZjTzptzOdhAH8qF3jJAtFQjixpmeW4TPj8fFBkSImo0eHBPC&#10;kQJsq/OzUhfGTfxOh11sRSrhUGiELsaxkDI0HVkdlm4kTt6X81bHJH0rjddTKreDXCm1llb3nBY6&#10;PdJ9R833bm8RXpx8k899W2cTq4fjz2v+5G2OeHkx392CiDTHvzCc8BM6VImpdns2QQwI6UhEWGQ5&#10;iJOb3ahrEDXC6mqzBlmV8v+B6hcAAP//AwBQSwECLQAUAAYACAAAACEAtoM4kv4AAADhAQAAEwAA&#10;AAAAAAAAAAAAAAAAAAAAW0NvbnRlbnRfVHlwZXNdLnhtbFBLAQItABQABgAIAAAAIQA4/SH/1gAA&#10;AJQBAAALAAAAAAAAAAAAAAAAAC8BAABfcmVscy8ucmVsc1BLAQItABQABgAIAAAAIQDPJF80gAIA&#10;AG8FAAAOAAAAAAAAAAAAAAAAAC4CAABkcnMvZTJvRG9jLnhtbFBLAQItABQABgAIAAAAIQDqJq7C&#10;3QAAAAgBAAAPAAAAAAAAAAAAAAAAANoEAABkcnMvZG93bnJldi54bWxQSwUGAAAAAAQABADzAAAA&#10;5AUAAAAA&#10;" fillcolor="#00827f [3206]" stroked="f">
              <w10:wrap anchorx="page" anchory="page"/>
            </v:rect>
          </w:pict>
        </mc:Fallback>
      </mc:AlternateContent>
    </w:r>
    <w:r w:rsidRPr="002C67AE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F8B7C97" wp14:editId="45377FCD">
              <wp:simplePos x="0" y="0"/>
              <wp:positionH relativeFrom="page">
                <wp:posOffset>-3810</wp:posOffset>
              </wp:positionH>
              <wp:positionV relativeFrom="topMargin">
                <wp:posOffset>1482725</wp:posOffset>
              </wp:positionV>
              <wp:extent cx="7560000" cy="972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6061E" id="Rectangle 4" o:spid="_x0000_s1026" style="position:absolute;margin-left:-.3pt;margin-top:116.75pt;width:595.3pt;height:7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cjegIAAG0FAAAOAAAAZHJzL2Uyb0RvYy54bWysVMFOGzEQvVfqP1i+l01QgBKxQVFQqkoI&#10;EFBxdrx2Ysn2uGMnm/TrO/ZuEqC9UDUHx/a8mdl5fjNX11tn2UZhNOBrPjwZcKa8hMb4Zc1/PM+/&#10;fOUsJuEbYcGrmu9U5NeTz5+u2jBWp7AC2yhkFMTHcRtqvkopjKsqypVyIp5AUJ6MGtCJREdcVg2K&#10;lqI7W50OBudVC9gEBKlipNubzsgnJb7WSqZ7raNKzNacvi2VFcu6yGs1uRLjJYqwMrL/DPEPX+GE&#10;8ZT0EOpGJMHWaP4I5YxEiKDTiQRXgdZGqlIDVTMcvKvmaSWCKrUQOTEcaIr/L6y82zwgM03NR5x5&#10;4eiJHok04ZdWsVGmpw1xTKin8ID9KdI217rV6PI/VcG2hdLdgVK1TUzS5cXZ+YB+nEmyXV7Qk+WY&#10;1dE5YEzfFDiWNzVHSl6IFJvbmDroHpJzRbCmmRtryyGrRM0sso2g9xVSKp+GfYI3SOsz3kP27ILm&#10;myrX1lVTdmlnVcZZ/6g0kVKK6hLhcpHzdMohaVNFe/1QMcUhAzXF/6Bv75K9VRHsB/0PTiU/+HTw&#10;d8YDFjJLOx2JsgeSdIffU9ERkLlYQLMjYSB0HRODnBt6oFsR04NAahEigNo+3dOiLbQ1h37H2Qrw&#10;19/uM56US1bOWmq5msefa4GKM/vdk6Yvh6NR7tFyGJ2RWDjD15bFa4tfuxnQqw9pwARZthmf7H6r&#10;EdwLTYdpzkom4SXlrrlMuD/MUvegNF+kmk4LjPoyiHTrn4LMwTOrWYDP2xeBoVdpInnfwb49xfid&#10;WDts9vQwXSfQpij5yGvPN/V06YV+/uSh8fpcUMcpOfkNAAD//wMAUEsDBBQABgAIAAAAIQAjQXnG&#10;3gAAAAoBAAAPAAAAZHJzL2Rvd25yZXYueG1sTI/BbsIwEETvlfoP1iL1BjaBRmkaB6GqIPVY4AOc&#10;ZEki4nWITUj/vsupPe7MaPZNtplsJ0YcfOtIw3KhQCCVrmqp1nA67uYJCB8MVaZzhBp+0MMmf37K&#10;TFq5O33jeAi14BLyqdHQhNCnUvqyQWv8wvVI7J3dYE3gc6hlNZg7l9tORkrF0pqW+ENjevxosLwc&#10;blYDrevkeB1VNO2LeL/7ik7b8/VT65fZtH0HEXAKf2F44DM65MxUuBtVXnQa5jEHNUSr1SuIh798&#10;UzyuYGmdJCDzTP6fkP8CAAD//wMAUEsBAi0AFAAGAAgAAAAhALaDOJL+AAAA4QEAABMAAAAAAAAA&#10;AAAAAAAAAAAAAFtDb250ZW50X1R5cGVzXS54bWxQSwECLQAUAAYACAAAACEAOP0h/9YAAACUAQAA&#10;CwAAAAAAAAAAAAAAAAAvAQAAX3JlbHMvLnJlbHNQSwECLQAUAAYACAAAACEAVLFHI3oCAABtBQAA&#10;DgAAAAAAAAAAAAAAAAAuAgAAZHJzL2Uyb0RvYy54bWxQSwECLQAUAAYACAAAACEAI0F5xt4AAAAK&#10;AQAADwAAAAAAAAAAAAAAAADUBAAAZHJzL2Rvd25yZXYueG1sUEsFBgAAAAAEAAQA8wAAAN8FAAAA&#10;AA==&#10;" fillcolor="#002c47 [3204]" stroked="f">
              <w10:wrap anchorx="page" anchory="margin"/>
            </v:rect>
          </w:pict>
        </mc:Fallback>
      </mc:AlternateContent>
    </w:r>
    <w:r w:rsidRPr="00C4513F">
      <w:rPr>
        <w:rStyle w:val="TitleChar"/>
        <w:sz w:val="44"/>
      </w:rPr>
      <w:t xml:space="preserve">Providing support for retirees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42D"/>
    <w:multiLevelType w:val="multilevel"/>
    <w:tmpl w:val="5022B7C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400B0"/>
    <w:multiLevelType w:val="multilevel"/>
    <w:tmpl w:val="208C175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571BB3"/>
    <w:multiLevelType w:val="multilevel"/>
    <w:tmpl w:val="31F6237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280AA7"/>
    <w:rsid w:val="000210AB"/>
    <w:rsid w:val="00040118"/>
    <w:rsid w:val="0004628B"/>
    <w:rsid w:val="00050D49"/>
    <w:rsid w:val="00057D6A"/>
    <w:rsid w:val="000D075F"/>
    <w:rsid w:val="000D3080"/>
    <w:rsid w:val="0017049E"/>
    <w:rsid w:val="00184CB9"/>
    <w:rsid w:val="0018526B"/>
    <w:rsid w:val="0019579C"/>
    <w:rsid w:val="001B786B"/>
    <w:rsid w:val="001F51E7"/>
    <w:rsid w:val="00237E7F"/>
    <w:rsid w:val="00244BFA"/>
    <w:rsid w:val="002454D0"/>
    <w:rsid w:val="00280AA7"/>
    <w:rsid w:val="002C67AE"/>
    <w:rsid w:val="00304C16"/>
    <w:rsid w:val="00314911"/>
    <w:rsid w:val="003164FA"/>
    <w:rsid w:val="00322BBB"/>
    <w:rsid w:val="00333F1D"/>
    <w:rsid w:val="003573F7"/>
    <w:rsid w:val="00370813"/>
    <w:rsid w:val="00382473"/>
    <w:rsid w:val="00394B70"/>
    <w:rsid w:val="003C0803"/>
    <w:rsid w:val="003C1442"/>
    <w:rsid w:val="003F1276"/>
    <w:rsid w:val="00406BCF"/>
    <w:rsid w:val="00414730"/>
    <w:rsid w:val="004264A1"/>
    <w:rsid w:val="004477AA"/>
    <w:rsid w:val="00470CF1"/>
    <w:rsid w:val="00493CD5"/>
    <w:rsid w:val="00496E6B"/>
    <w:rsid w:val="004D7167"/>
    <w:rsid w:val="004E64FC"/>
    <w:rsid w:val="004F4646"/>
    <w:rsid w:val="00510739"/>
    <w:rsid w:val="005132CB"/>
    <w:rsid w:val="00515447"/>
    <w:rsid w:val="005315A7"/>
    <w:rsid w:val="00533DAA"/>
    <w:rsid w:val="00547C73"/>
    <w:rsid w:val="00551E54"/>
    <w:rsid w:val="005529A1"/>
    <w:rsid w:val="00553E4B"/>
    <w:rsid w:val="00571283"/>
    <w:rsid w:val="00582F16"/>
    <w:rsid w:val="00584FC7"/>
    <w:rsid w:val="00590026"/>
    <w:rsid w:val="005B0104"/>
    <w:rsid w:val="005C076C"/>
    <w:rsid w:val="005C07FC"/>
    <w:rsid w:val="005C7C68"/>
    <w:rsid w:val="005F4A7B"/>
    <w:rsid w:val="00601D37"/>
    <w:rsid w:val="00602035"/>
    <w:rsid w:val="0060219A"/>
    <w:rsid w:val="00604840"/>
    <w:rsid w:val="00622A4C"/>
    <w:rsid w:val="00652D4D"/>
    <w:rsid w:val="006726D1"/>
    <w:rsid w:val="0068514A"/>
    <w:rsid w:val="006A77DC"/>
    <w:rsid w:val="006B04DC"/>
    <w:rsid w:val="007226C6"/>
    <w:rsid w:val="00722886"/>
    <w:rsid w:val="007511BE"/>
    <w:rsid w:val="00795165"/>
    <w:rsid w:val="007A22D7"/>
    <w:rsid w:val="007B2169"/>
    <w:rsid w:val="007B4326"/>
    <w:rsid w:val="007E027B"/>
    <w:rsid w:val="007F121D"/>
    <w:rsid w:val="00827A14"/>
    <w:rsid w:val="00866FB8"/>
    <w:rsid w:val="00893264"/>
    <w:rsid w:val="00897C6A"/>
    <w:rsid w:val="008A603F"/>
    <w:rsid w:val="008B616C"/>
    <w:rsid w:val="008C6C58"/>
    <w:rsid w:val="008D28EF"/>
    <w:rsid w:val="008E7B56"/>
    <w:rsid w:val="009229E5"/>
    <w:rsid w:val="00944F3B"/>
    <w:rsid w:val="009513CB"/>
    <w:rsid w:val="00954F81"/>
    <w:rsid w:val="009568FE"/>
    <w:rsid w:val="00960221"/>
    <w:rsid w:val="00976711"/>
    <w:rsid w:val="009836C6"/>
    <w:rsid w:val="0098608A"/>
    <w:rsid w:val="009A58F3"/>
    <w:rsid w:val="009E1384"/>
    <w:rsid w:val="009F4A14"/>
    <w:rsid w:val="00A26A86"/>
    <w:rsid w:val="00A3036B"/>
    <w:rsid w:val="00A83148"/>
    <w:rsid w:val="00A957A1"/>
    <w:rsid w:val="00AD3873"/>
    <w:rsid w:val="00AF1D87"/>
    <w:rsid w:val="00B07ACA"/>
    <w:rsid w:val="00B42DD6"/>
    <w:rsid w:val="00B64304"/>
    <w:rsid w:val="00B64889"/>
    <w:rsid w:val="00B85062"/>
    <w:rsid w:val="00BA28A9"/>
    <w:rsid w:val="00BC0A58"/>
    <w:rsid w:val="00BC737D"/>
    <w:rsid w:val="00BF2344"/>
    <w:rsid w:val="00C02BF0"/>
    <w:rsid w:val="00C03014"/>
    <w:rsid w:val="00C16911"/>
    <w:rsid w:val="00C31501"/>
    <w:rsid w:val="00C37249"/>
    <w:rsid w:val="00C54D58"/>
    <w:rsid w:val="00C93EF7"/>
    <w:rsid w:val="00C9602C"/>
    <w:rsid w:val="00C96B89"/>
    <w:rsid w:val="00CC4B36"/>
    <w:rsid w:val="00CE0378"/>
    <w:rsid w:val="00CE4786"/>
    <w:rsid w:val="00CF70A8"/>
    <w:rsid w:val="00D10D9B"/>
    <w:rsid w:val="00D20836"/>
    <w:rsid w:val="00DB6912"/>
    <w:rsid w:val="00E12870"/>
    <w:rsid w:val="00E22AAD"/>
    <w:rsid w:val="00E41CDB"/>
    <w:rsid w:val="00E45888"/>
    <w:rsid w:val="00E97D6F"/>
    <w:rsid w:val="00EA24EE"/>
    <w:rsid w:val="00ED3251"/>
    <w:rsid w:val="00EF2DDE"/>
    <w:rsid w:val="00F04B78"/>
    <w:rsid w:val="00F06290"/>
    <w:rsid w:val="00F3183C"/>
    <w:rsid w:val="00F358A6"/>
    <w:rsid w:val="00F37BE7"/>
    <w:rsid w:val="00F37DD4"/>
    <w:rsid w:val="00F45C7E"/>
    <w:rsid w:val="00F80FAD"/>
    <w:rsid w:val="00FC24E9"/>
    <w:rsid w:val="00FC3607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0111B3"/>
  <w15:chartTrackingRefBased/>
  <w15:docId w15:val="{AC48112C-53A6-45A8-8D57-E870299B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4C"/>
    <w:pPr>
      <w:spacing w:before="120" w:after="1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BF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C"/>
  </w:style>
  <w:style w:type="paragraph" w:styleId="Footer">
    <w:name w:val="footer"/>
    <w:basedOn w:val="Normal"/>
    <w:link w:val="Foot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C"/>
  </w:style>
  <w:style w:type="paragraph" w:customStyle="1" w:styleId="SecurityClassificationHeader">
    <w:name w:val="Security Classification Header"/>
    <w:link w:val="SecurityClassificationHead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3183C"/>
    <w:rPr>
      <w:rFonts w:ascii="Calibri" w:hAnsi="Calibri" w:cs="Calibri"/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3183C"/>
    <w:rPr>
      <w:rFonts w:ascii="Calibri" w:hAnsi="Calibri" w:cs="Calibri"/>
      <w:b/>
      <w:caps/>
      <w:sz w:val="24"/>
    </w:rPr>
  </w:style>
  <w:style w:type="paragraph" w:customStyle="1" w:styleId="DLMSecurityHeader">
    <w:name w:val="DLM Security Header"/>
    <w:link w:val="DLMSecurityHead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F3183C"/>
    <w:rPr>
      <w:rFonts w:ascii="Calibri" w:hAnsi="Calibri" w:cs="Calibri"/>
      <w:b/>
      <w:caps/>
      <w:sz w:val="24"/>
    </w:rPr>
  </w:style>
  <w:style w:type="paragraph" w:customStyle="1" w:styleId="DLMSecurityFooter">
    <w:name w:val="DLM Security Footer"/>
    <w:link w:val="DLMSecurityFoot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F3183C"/>
    <w:rPr>
      <w:rFonts w:ascii="Calibri" w:hAnsi="Calibri" w:cs="Calibri"/>
      <w:b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BF0"/>
    <w:pPr>
      <w:spacing w:before="0" w:after="0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F0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A4C"/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table" w:styleId="TableGrid">
    <w:name w:val="Table Grid"/>
    <w:basedOn w:val="TableNormal"/>
    <w:rsid w:val="006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BFA"/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04D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B04DC"/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81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081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Introtext">
    <w:name w:val="Intro text"/>
    <w:basedOn w:val="Subtitle"/>
    <w:qFormat/>
    <w:rsid w:val="00370813"/>
    <w:rPr>
      <w:sz w:val="26"/>
      <w:szCs w:val="26"/>
    </w:rPr>
  </w:style>
  <w:style w:type="paragraph" w:customStyle="1" w:styleId="Boxheading">
    <w:name w:val="Box heading"/>
    <w:basedOn w:val="Normal"/>
    <w:qFormat/>
    <w:rsid w:val="009F4A14"/>
    <w:pPr>
      <w:spacing w:before="240"/>
    </w:pPr>
    <w:rPr>
      <w:b/>
      <w:color w:val="00827F" w:themeColor="accent3"/>
    </w:rPr>
  </w:style>
  <w:style w:type="paragraph" w:customStyle="1" w:styleId="Bullet">
    <w:name w:val="Bullet"/>
    <w:aliases w:val="Body,Bullet + line,b,b + line,b1,level 1"/>
    <w:basedOn w:val="Normal"/>
    <w:link w:val="BulletChar"/>
    <w:rsid w:val="00040118"/>
    <w:pPr>
      <w:numPr>
        <w:numId w:val="1"/>
      </w:numPr>
    </w:pPr>
    <w:rPr>
      <w:rFonts w:eastAsiaTheme="majorEastAsia" w:cstheme="majorBidi"/>
      <w:szCs w:val="24"/>
    </w:rPr>
  </w:style>
  <w:style w:type="character" w:customStyle="1" w:styleId="BulletChar">
    <w:name w:val="Bullet Char"/>
    <w:basedOn w:val="Heading3Char"/>
    <w:link w:val="Bullet"/>
    <w:rsid w:val="00040118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ash">
    <w:name w:val="Dash"/>
    <w:basedOn w:val="Normal"/>
    <w:link w:val="DashChar"/>
    <w:rsid w:val="00040118"/>
    <w:pPr>
      <w:numPr>
        <w:ilvl w:val="1"/>
        <w:numId w:val="1"/>
      </w:numPr>
    </w:pPr>
    <w:rPr>
      <w:rFonts w:eastAsiaTheme="majorEastAsia" w:cstheme="majorBidi"/>
      <w:szCs w:val="24"/>
    </w:rPr>
  </w:style>
  <w:style w:type="character" w:customStyle="1" w:styleId="DashChar">
    <w:name w:val="Dash Char"/>
    <w:basedOn w:val="Heading3Char"/>
    <w:link w:val="Dash"/>
    <w:rsid w:val="00040118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oubleDot">
    <w:name w:val="Double Dot"/>
    <w:basedOn w:val="Normal"/>
    <w:link w:val="DoubleDotChar"/>
    <w:rsid w:val="00F37BE7"/>
    <w:pPr>
      <w:numPr>
        <w:ilvl w:val="2"/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DoubleDotChar">
    <w:name w:val="Double Dot Char"/>
    <w:basedOn w:val="Heading3Char"/>
    <w:link w:val="DoubleDot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Tablecolumnheading">
    <w:name w:val="Table column heading"/>
    <w:basedOn w:val="Heading2"/>
    <w:qFormat/>
    <w:rsid w:val="009E1384"/>
    <w:pPr>
      <w:spacing w:before="120"/>
      <w:jc w:val="center"/>
    </w:pPr>
    <w:rPr>
      <w:rFonts w:asciiTheme="minorHAnsi" w:hAnsiTheme="minorHAnsi"/>
      <w:b/>
      <w:caps w:val="0"/>
      <w:color w:val="FFFFFF" w:themeColor="background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FE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FE"/>
    <w:rPr>
      <w:rFonts w:ascii="Segoe UI" w:hAnsi="Segoe UI" w:cs="Segoe UI"/>
      <w:sz w:val="18"/>
      <w:szCs w:val="18"/>
    </w:rPr>
  </w:style>
  <w:style w:type="paragraph" w:customStyle="1" w:styleId="TableColumnHeadingCentred">
    <w:name w:val="Table Column Heading Centred"/>
    <w:basedOn w:val="Normal"/>
    <w:uiPriority w:val="4"/>
    <w:rsid w:val="00304C16"/>
    <w:pPr>
      <w:spacing w:before="40" w:after="40"/>
      <w:jc w:val="center"/>
    </w:pPr>
    <w:rPr>
      <w:rFonts w:eastAsia="Times New Roman"/>
      <w:b/>
      <w:color w:val="342E82"/>
      <w:sz w:val="16"/>
      <w:lang w:eastAsia="en-AU"/>
    </w:rPr>
  </w:style>
  <w:style w:type="paragraph" w:customStyle="1" w:styleId="TableColumnHeadingLeft">
    <w:name w:val="Table Column Heading Left"/>
    <w:basedOn w:val="Normal"/>
    <w:uiPriority w:val="4"/>
    <w:rsid w:val="00304C16"/>
    <w:pPr>
      <w:spacing w:before="40" w:after="40"/>
      <w:jc w:val="both"/>
    </w:pPr>
    <w:rPr>
      <w:rFonts w:eastAsia="Times New Roman"/>
      <w:b/>
      <w:color w:val="342E82"/>
      <w:sz w:val="16"/>
      <w:lang w:eastAsia="en-AU"/>
    </w:rPr>
  </w:style>
  <w:style w:type="paragraph" w:customStyle="1" w:styleId="TableTextRight">
    <w:name w:val="Table Text Right"/>
    <w:basedOn w:val="Normal"/>
    <w:uiPriority w:val="4"/>
    <w:rsid w:val="00304C16"/>
    <w:pPr>
      <w:spacing w:before="40" w:after="40"/>
      <w:jc w:val="right"/>
    </w:pPr>
    <w:rPr>
      <w:rFonts w:eastAsia="Times New Roman"/>
      <w:color w:val="000000"/>
      <w:sz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454D0"/>
    <w:rPr>
      <w:color w:val="00827F" w:themeColor="accent3"/>
      <w:u w:val="none"/>
    </w:rPr>
  </w:style>
  <w:style w:type="paragraph" w:styleId="NormalWeb">
    <w:name w:val="Normal (Web)"/>
    <w:basedOn w:val="Normal"/>
    <w:uiPriority w:val="99"/>
    <w:semiHidden/>
    <w:unhideWhenUsed/>
    <w:rsid w:val="002454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reasury.gov.au/coronavir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\AppData\Local\Microsoft\Windows\INetCache\Content.Outlook\NCQM8YN3\COVID-19%20A4%20fact%20sheet%20(003).dotx" TargetMode="External"/></Relationships>
</file>

<file path=word/theme/theme1.xml><?xml version="1.0" encoding="utf-8"?>
<a:theme xmlns:a="http://schemas.openxmlformats.org/drawingml/2006/main" name="Office Theme">
  <a:themeElements>
    <a:clrScheme name="Treasury PowerPoint">
      <a:dk1>
        <a:sysClr val="windowText" lastClr="000000"/>
      </a:dk1>
      <a:lt1>
        <a:sysClr val="window" lastClr="FFFFFF"/>
      </a:lt1>
      <a:dk2>
        <a:srgbClr val="F06252"/>
      </a:dk2>
      <a:lt2>
        <a:srgbClr val="E2E0CB"/>
      </a:lt2>
      <a:accent1>
        <a:srgbClr val="002C47"/>
      </a:accent1>
      <a:accent2>
        <a:srgbClr val="3A6FAF"/>
      </a:accent2>
      <a:accent3>
        <a:srgbClr val="00827F"/>
      </a:accent3>
      <a:accent4>
        <a:srgbClr val="F7901E"/>
      </a:accent4>
      <a:accent5>
        <a:srgbClr val="00ABBD"/>
      </a:accent5>
      <a:accent6>
        <a:srgbClr val="844D9E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0B2B725CB133046A824148AFBF7588D|1757814118" UniqueId="ae7ec984-e6b3-49e5-9a50-daf04c2d54d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aa2faa4c2c4fc69aa7703a0b9bba99 xmlns="897d5b50-e2b5-48d2-af00-621a7a6336c9">
      <Terms xmlns="http://schemas.microsoft.com/office/infopath/2007/PartnerControls"/>
    </e3aa2faa4c2c4fc69aa7703a0b9bba99>
    <To_x002f_From xmlns="aed5e396-b62e-438f-bd6c-6d53d54e5cfc" xsi:nil="true"/>
    <lb508a4dc5e84436a0fe496b536466aa xmlns="897d5b50-e2b5-48d2-af00-621a7a6336c9">
      <Terms xmlns="http://schemas.microsoft.com/office/infopath/2007/PartnerControls"/>
    </lb508a4dc5e84436a0fe496b536466aa>
    <TaxCatchAll xmlns="0f563589-9cf9-4143-b1eb-fb0534803d38"/>
    <TaxKeywordTaxHTField xmlns="0f563589-9cf9-4143-b1eb-fb0534803d38">
      <Terms xmlns="http://schemas.microsoft.com/office/infopath/2007/PartnerControls"/>
    </TaxKeywordTaxHTField>
    <Work_x0020_stream xmlns="aed5e396-b62e-438f-bd6c-6d53d54e5cfc" xsi:nil="true"/>
    <_dlc_DocId xmlns="0f563589-9cf9-4143-b1eb-fb0534803d38">20205JXR4F37-906865816-478</_dlc_DocId>
    <_dlc_DocIdUrl xmlns="0f563589-9cf9-4143-b1eb-fb0534803d38">
      <Url>http://tweb/sites/treasury/cvirus/_layouts/15/DocIdRedir.aspx?ID=20205JXR4F37-906865816-478</Url>
      <Description>20205JXR4F37-906865816-478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B0B2B725CB133046A824148AFBF7588D00FB86DB676D39E9448B5E55157D1D7E54" ma:contentTypeVersion="10493" ma:contentTypeDescription="" ma:contentTypeScope="" ma:versionID="75245ced693398202b441a6ed646399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897d5b50-e2b5-48d2-af00-621a7a6336c9" xmlns:ns4="aed5e396-b62e-438f-bd6c-6d53d54e5cfc" targetNamespace="http://schemas.microsoft.com/office/2006/metadata/properties" ma:root="true" ma:fieldsID="bc613a9a1560a0ef8e3a5aede8b7a78e" ns1:_="" ns2:_="" ns3:_="" ns4:_="">
    <xsd:import namespace="http://schemas.microsoft.com/sharepoint/v3"/>
    <xsd:import namespace="0f563589-9cf9-4143-b1eb-fb0534803d38"/>
    <xsd:import namespace="897d5b50-e2b5-48d2-af00-621a7a6336c9"/>
    <xsd:import namespace="aed5e396-b62e-438f-bd6c-6d53d54e5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4:To_x002f_From" minOccurs="0"/>
                <xsd:element ref="ns4:Work_x0020_stream" minOccurs="0"/>
                <xsd:element ref="ns3:e3aa2faa4c2c4fc69aa7703a0b9bba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8ff8e001-7d25-479d-8b62-8006dc450e27}" ma:internalName="TaxCatchAll" ma:showField="CatchAllData" ma:web="897d5b50-e2b5-48d2-af00-621a7a633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ff8e001-7d25-479d-8b62-8006dc450e27}" ma:internalName="TaxCatchAllLabel" ma:readOnly="true" ma:showField="CatchAllDataLabel" ma:web="897d5b50-e2b5-48d2-af00-621a7a633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5b50-e2b5-48d2-af00-621a7a6336c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" ma:fieldId="{5b508a4d-c5e8-4436-a0fe-496b536466aa}" ma:sspId="77b7a547-5880-464f-83f8-cefe583c3af4" ma:termSetId="8c8a1de6-dea5-4e66-bd5a-b7b3daae0f37" ma:anchorId="72a33569-3b59-4b38-9058-021557895d12" ma:open="false" ma:isKeyword="false">
      <xsd:complexType>
        <xsd:sequence>
          <xsd:element ref="pc:Terms" minOccurs="0" maxOccurs="1"/>
        </xsd:sequence>
      </xsd:complexType>
    </xsd:element>
    <xsd:element name="e3aa2faa4c2c4fc69aa7703a0b9bba99" ma:index="20" nillable="true" ma:taxonomy="true" ma:internalName="e3aa2faa4c2c4fc69aa7703a0b9bba99" ma:taxonomyFieldName="TSYTopic" ma:displayName="TSYTopic" ma:default="" ma:fieldId="{e3aa2faa-4c2c-4fc6-9aa7-703a0b9bba99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e396-b62e-438f-bd6c-6d53d54e5cfc" elementFormDefault="qualified">
    <xsd:import namespace="http://schemas.microsoft.com/office/2006/documentManagement/types"/>
    <xsd:import namespace="http://schemas.microsoft.com/office/infopath/2007/PartnerControls"/>
    <xsd:element name="To_x002f_From" ma:index="18" nillable="true" ma:displayName="To/From" ma:format="Dropdown" ma:internalName="To_x002F_From">
      <xsd:simpleType>
        <xsd:restriction base="dms:Choice">
          <xsd:enumeration value="Internal working"/>
          <xsd:enumeration value="To: Internal"/>
          <xsd:enumeration value="To: Treasurer/PMO"/>
          <xsd:enumeration value="From: Internal"/>
          <xsd:enumeration value="From: External"/>
        </xsd:restriction>
      </xsd:simpleType>
    </xsd:element>
    <xsd:element name="Work_x0020_stream" ma:index="19" nillable="true" ma:displayName="Work stream" ma:format="Dropdown" ma:internalName="Work_x0020_stream">
      <xsd:simpleType>
        <xsd:restriction base="dms:Choice">
          <xsd:enumeration value="Daily updates"/>
          <xsd:enumeration value="Other briefing"/>
          <xsd:enumeration value="Response package"/>
          <xsd:enumeration value="External information/reports"/>
          <xsd:enumeration value="Communications"/>
          <xsd:enumeration value="Correspon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A223-FD3C-4C0B-AD79-E7C8452B85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F8C77B-C5E5-46F4-BD70-E2943230C53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7916BCE-D230-498D-BB07-3901E3D01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81ED4-46F3-457C-BE13-B719C6D7CC2D}">
  <ds:schemaRefs>
    <ds:schemaRef ds:uri="http://schemas.microsoft.com/office/2006/metadata/properties"/>
    <ds:schemaRef ds:uri="http://purl.org/dc/elements/1.1/"/>
    <ds:schemaRef ds:uri="aed5e396-b62e-438f-bd6c-6d53d54e5cfc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97d5b50-e2b5-48d2-af00-621a7a6336c9"/>
    <ds:schemaRef ds:uri="0f563589-9cf9-4143-b1eb-fb0534803d38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1E54445-A77C-4A47-9CF3-834A0B1B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897d5b50-e2b5-48d2-af00-621a7a6336c9"/>
    <ds:schemaRef ds:uri="aed5e396-b62e-438f-bd6c-6d53d54e5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258D67-3FD8-4C41-80A0-BB52C1D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COVID-19 A4 fact sheet (003).dotx</Template>
  <TotalTime>11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6 Providing support for retirees to manage market volatility</vt:lpstr>
    </vt:vector>
  </TitlesOfParts>
  <Company>The Department of the Treasury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6 Providing support for retirees to manage market volatility</dc:title>
  <dc:subject/>
  <dc:creator>Ruberl, Heather</dc:creator>
  <cp:keywords/>
  <dc:description/>
  <cp:lastModifiedBy>Hill, Emily</cp:lastModifiedBy>
  <cp:revision>9</cp:revision>
  <cp:lastPrinted>2020-03-21T13:13:00Z</cp:lastPrinted>
  <dcterms:created xsi:type="dcterms:W3CDTF">2020-03-21T20:21:00Z</dcterms:created>
  <dcterms:modified xsi:type="dcterms:W3CDTF">2020-03-21T23:12:00Z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ification">
    <vt:lpwstr>Protected</vt:lpwstr>
  </property>
  <property fmtid="{D5CDD505-2E9C-101B-9397-08002B2CF9AE}" pid="3" name="DLMSecurityClassification">
    <vt:lpwstr>Sensitive:  Cabinet</vt:lpwstr>
  </property>
  <property fmtid="{D5CDD505-2E9C-101B-9397-08002B2CF9AE}" pid="4" name="ContentTypeId">
    <vt:lpwstr>0x010100B0B2B725CB133046A824148AFBF7588D00FB86DB676D39E9448B5E55157D1D7E54</vt:lpwstr>
  </property>
  <property fmtid="{D5CDD505-2E9C-101B-9397-08002B2CF9AE}" pid="5" name="TSYRecordClass">
    <vt:lpwstr/>
  </property>
  <property fmtid="{D5CDD505-2E9C-101B-9397-08002B2CF9AE}" pid="6" name="TaxKeyword">
    <vt:lpwstr/>
  </property>
  <property fmtid="{D5CDD505-2E9C-101B-9397-08002B2CF9AE}" pid="7" name="TSYTopic">
    <vt:lpwstr/>
  </property>
  <property fmtid="{D5CDD505-2E9C-101B-9397-08002B2CF9AE}" pid="8" name="_dlc_DocIdItemGuid">
    <vt:lpwstr>40d10f2a-f72d-4ec0-881e-5472eb1c0252</vt:lpwstr>
  </property>
  <property fmtid="{D5CDD505-2E9C-101B-9397-08002B2CF9AE}" pid="9" name="Order">
    <vt:r8>41000</vt:r8>
  </property>
  <property fmtid="{D5CDD505-2E9C-101B-9397-08002B2CF9AE}" pid="10" name="oae75e2df9d943898d59cb03ca0993c5">
    <vt:lpwstr/>
  </property>
  <property fmtid="{D5CDD505-2E9C-101B-9397-08002B2CF9AE}" pid="11" name="Topics">
    <vt:lpwstr/>
  </property>
</Properties>
</file>