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79283" w14:textId="2DDF9115" w:rsidR="006A5AAD" w:rsidRDefault="00C0378C" w:rsidP="003F1276">
      <w:pPr>
        <w:pStyle w:val="Introtext"/>
      </w:pPr>
      <w:r w:rsidRPr="00C0378C">
        <w:t xml:space="preserve">This assistance will </w:t>
      </w:r>
      <w:r w:rsidR="00EC7A4D">
        <w:t>assist</w:t>
      </w:r>
      <w:r w:rsidR="00EC7A4D" w:rsidRPr="00C0378C">
        <w:t xml:space="preserve"> </w:t>
      </w:r>
      <w:r w:rsidRPr="00C0378C">
        <w:t xml:space="preserve">businesses to manage </w:t>
      </w:r>
      <w:proofErr w:type="spellStart"/>
      <w:r w:rsidRPr="00C0378C">
        <w:t>cashflow</w:t>
      </w:r>
      <w:proofErr w:type="spellEnd"/>
      <w:r w:rsidRPr="00C0378C">
        <w:t xml:space="preserve"> challenges and help businesses retain their employees. These two measures are designed to support employing small and medium </w:t>
      </w:r>
      <w:r w:rsidR="00EC7A4D">
        <w:t xml:space="preserve">sized </w:t>
      </w:r>
      <w:r w:rsidR="00167763">
        <w:t>businesses</w:t>
      </w:r>
      <w:r w:rsidRPr="00C0378C">
        <w:t xml:space="preserve"> and to improve business confidence. </w:t>
      </w:r>
      <w:r w:rsidR="00167763">
        <w:t xml:space="preserve">The </w:t>
      </w:r>
      <w:r w:rsidR="00167763" w:rsidRPr="00312C9D">
        <w:rPr>
          <w:i/>
        </w:rPr>
        <w:t>Boosting Cash Flow for Employers</w:t>
      </w:r>
      <w:r w:rsidR="00167763" w:rsidRPr="00312C9D">
        <w:t xml:space="preserve"> </w:t>
      </w:r>
      <w:r w:rsidR="00167763">
        <w:t xml:space="preserve">measure also supports the activities of </w:t>
      </w:r>
      <w:r w:rsidR="00167763" w:rsidRPr="008E5E27">
        <w:t>not-for-profits (including charities) at a time where they are facing increased demand for services.</w:t>
      </w:r>
      <w:r w:rsidR="00167763">
        <w:t xml:space="preserve"> </w:t>
      </w:r>
    </w:p>
    <w:p w14:paraId="36FB4ABF" w14:textId="4B4E6254" w:rsidR="005F6D94" w:rsidRDefault="006A5AAD" w:rsidP="003F1276">
      <w:pPr>
        <w:pStyle w:val="Introtext"/>
      </w:pPr>
      <w:r>
        <w:t>T</w:t>
      </w:r>
      <w:r w:rsidR="00C0378C" w:rsidRPr="00C0378C">
        <w:t>he wage subsidy for apprentices and trainees will help to ensure the continued development of the skilled workforce.</w:t>
      </w:r>
    </w:p>
    <w:p w14:paraId="19D2D0D1" w14:textId="5AD91ACB" w:rsidR="005F12DA" w:rsidRPr="00E73CE2" w:rsidRDefault="009208BD" w:rsidP="003F1276">
      <w:pPr>
        <w:pStyle w:val="Heading2"/>
      </w:pPr>
      <w:r w:rsidRPr="00287AC1">
        <w:t>BOOSTing CASH FLOW FOR EMPLOYERS</w:t>
      </w:r>
    </w:p>
    <w:p w14:paraId="35BE26AD" w14:textId="77777777" w:rsidR="00C0378C" w:rsidRDefault="00C0378C" w:rsidP="00C0378C">
      <w:pPr>
        <w:pStyle w:val="Heading3"/>
      </w:pPr>
      <w:r>
        <w:t>Summary</w:t>
      </w:r>
    </w:p>
    <w:p w14:paraId="5B20051E" w14:textId="600E7A43" w:rsidR="00596A99" w:rsidRDefault="00596A99" w:rsidP="004F3737">
      <w:r w:rsidRPr="00596A99">
        <w:t>The Government is providing up to $100,000 to eligible small and medium sized businesses, and not-for-profits (including charities) that employ people, with a minimum payment of $20,000. These payments will help businesses</w:t>
      </w:r>
      <w:r w:rsidR="00EC7A4D">
        <w:t>’</w:t>
      </w:r>
      <w:r w:rsidRPr="00596A99">
        <w:t xml:space="preserve"> and not-for-profits</w:t>
      </w:r>
      <w:r w:rsidR="00EC7A4D">
        <w:t>’</w:t>
      </w:r>
      <w:r w:rsidRPr="00596A99">
        <w:t xml:space="preserve"> cash flow so they can keep operating, pay their rent, electricity and other bills and retain staff.</w:t>
      </w:r>
    </w:p>
    <w:p w14:paraId="64B6FA25" w14:textId="74CDA1C0" w:rsidR="00B479E1" w:rsidRPr="00B71A9E" w:rsidRDefault="00B479E1" w:rsidP="004F3737">
      <w:r w:rsidRPr="00B71A9E">
        <w:t>On 12 March 2020, the Government announced t</w:t>
      </w:r>
      <w:r>
        <w:t xml:space="preserve">he </w:t>
      </w:r>
      <w:r w:rsidRPr="00287AC1">
        <w:rPr>
          <w:i/>
        </w:rPr>
        <w:t>Boosting Cash Flow for Employers</w:t>
      </w:r>
      <w:r w:rsidRPr="00B71A9E">
        <w:t xml:space="preserve"> measure. The measure initially provided up to $25,000 to business, with a minimum payment of $2,000 for eligible businesses. </w:t>
      </w:r>
      <w:r>
        <w:t>S</w:t>
      </w:r>
      <w:r w:rsidRPr="00B71A9E">
        <w:t xml:space="preserve">mall and medium </w:t>
      </w:r>
      <w:r w:rsidR="00EC7A4D">
        <w:t xml:space="preserve">sized </w:t>
      </w:r>
      <w:r w:rsidRPr="00B71A9E">
        <w:t xml:space="preserve">business entities with aggregated annual turnover under $50 million </w:t>
      </w:r>
      <w:r>
        <w:t xml:space="preserve">and </w:t>
      </w:r>
      <w:r w:rsidRPr="00B71A9E">
        <w:t xml:space="preserve">that employ </w:t>
      </w:r>
      <w:r>
        <w:t>workers are eligible</w:t>
      </w:r>
      <w:r w:rsidRPr="00B71A9E">
        <w:t xml:space="preserve">. </w:t>
      </w:r>
    </w:p>
    <w:p w14:paraId="5AA75181" w14:textId="3C396CD2" w:rsidR="00B479E1" w:rsidRPr="009904D4" w:rsidRDefault="00B479E1" w:rsidP="004F3737">
      <w:r>
        <w:t>The Government has enhanced this measure as part of the second eco</w:t>
      </w:r>
      <w:r w:rsidR="00F5450B">
        <w:t>nomic response package. Not</w:t>
      </w:r>
      <w:r w:rsidR="00F5450B">
        <w:noBreakHyphen/>
        <w:t>for</w:t>
      </w:r>
      <w:r w:rsidR="00F5450B">
        <w:noBreakHyphen/>
      </w:r>
      <w:r>
        <w:t>profit entities</w:t>
      </w:r>
      <w:r w:rsidR="00EC7A4D">
        <w:t xml:space="preserve"> (NFPs)</w:t>
      </w:r>
      <w:r>
        <w:t xml:space="preserve">, including charities, </w:t>
      </w:r>
      <w:r w:rsidRPr="00E05CEF">
        <w:t>with aggregated annual turnover under $50 million and that employ workers will</w:t>
      </w:r>
      <w:r>
        <w:t xml:space="preserve"> now also</w:t>
      </w:r>
      <w:r w:rsidRPr="00E05CEF">
        <w:t xml:space="preserve"> be eligible</w:t>
      </w:r>
      <w:r>
        <w:t xml:space="preserve">. This </w:t>
      </w:r>
      <w:r w:rsidRPr="008F2AF2">
        <w:t xml:space="preserve">will support employment activities at a time </w:t>
      </w:r>
      <w:r>
        <w:t>where NFPs</w:t>
      </w:r>
      <w:r w:rsidRPr="008F2AF2">
        <w:t xml:space="preserve"> are facing increasing demand for services</w:t>
      </w:r>
      <w:r>
        <w:t xml:space="preserve">. </w:t>
      </w:r>
    </w:p>
    <w:p w14:paraId="5FEEA990" w14:textId="77777777" w:rsidR="00B479E1" w:rsidRDefault="00B479E1" w:rsidP="004F3737">
      <w:r>
        <w:t>Under the enhanced scheme, employers will receive a payment equal to 100 per cent of their salary and wages withheld (up from 50 per cent), with the maximum payment being increased from $25,000 to $50,000. In addition, the minimum payment is being increased from $2,000 to $10,000.</w:t>
      </w:r>
    </w:p>
    <w:p w14:paraId="61EBE223" w14:textId="172049C9" w:rsidR="00B479E1" w:rsidRDefault="00B479E1" w:rsidP="004F3737">
      <w:r>
        <w:t xml:space="preserve">An additional payment is also being introduced </w:t>
      </w:r>
      <w:r w:rsidR="00020A69">
        <w:t xml:space="preserve">in the </w:t>
      </w:r>
      <w:r>
        <w:t>July</w:t>
      </w:r>
      <w:r w:rsidR="00020A69">
        <w:t xml:space="preserve"> – October </w:t>
      </w:r>
      <w:r>
        <w:t>2020</w:t>
      </w:r>
      <w:r w:rsidR="00020A69">
        <w:t xml:space="preserve"> period</w:t>
      </w:r>
      <w:r>
        <w:t xml:space="preserve">. Eligible entities will receive an additional payment equal to the total of all of the </w:t>
      </w:r>
      <w:r w:rsidRPr="00160CFF">
        <w:rPr>
          <w:i/>
        </w:rPr>
        <w:t>Boost</w:t>
      </w:r>
      <w:r>
        <w:rPr>
          <w:i/>
        </w:rPr>
        <w:t xml:space="preserve">ing </w:t>
      </w:r>
      <w:r w:rsidRPr="00160CFF">
        <w:rPr>
          <w:i/>
        </w:rPr>
        <w:t>Cash Flow for Employers</w:t>
      </w:r>
      <w:r>
        <w:t xml:space="preserve"> payments </w:t>
      </w:r>
      <w:r w:rsidR="00596A99">
        <w:t xml:space="preserve">they have </w:t>
      </w:r>
      <w:r>
        <w:t xml:space="preserve">received. This means that eligible entities will receive at least $20,000 up to a total of $100,000 under both payments. This additional payment continues cash flow support over a longer period, increasing confidence, helping employers to retain staff and helping entities to keep operating. </w:t>
      </w:r>
    </w:p>
    <w:p w14:paraId="314F36FA" w14:textId="7180BA90" w:rsidR="00B479E1" w:rsidRDefault="00B479E1" w:rsidP="004F3737">
      <w:r>
        <w:t xml:space="preserve">The cash flow boost provides a tax free payment to employers and is </w:t>
      </w:r>
      <w:r w:rsidR="00596A99">
        <w:t xml:space="preserve">automatically </w:t>
      </w:r>
      <w:r>
        <w:t xml:space="preserve">calculated by the Australian Taxation Office (ATO). </w:t>
      </w:r>
      <w:r w:rsidR="00596A99">
        <w:t xml:space="preserve">There are no new forms required. </w:t>
      </w:r>
    </w:p>
    <w:p w14:paraId="2FD29522" w14:textId="77777777" w:rsidR="00B479E1" w:rsidRDefault="00B479E1" w:rsidP="00B479E1">
      <w:pPr>
        <w:pStyle w:val="Heading3"/>
      </w:pPr>
      <w:r>
        <w:t xml:space="preserve">Eligibility - </w:t>
      </w:r>
      <w:r w:rsidRPr="00596A99">
        <w:rPr>
          <w:i/>
        </w:rPr>
        <w:t>Boosting Cash Flow for Employers</w:t>
      </w:r>
      <w:r w:rsidRPr="001034A4">
        <w:t xml:space="preserve"> payments</w:t>
      </w:r>
    </w:p>
    <w:p w14:paraId="51AFEA81" w14:textId="6C28F23C" w:rsidR="009208BD" w:rsidRPr="009208BD" w:rsidRDefault="009208BD" w:rsidP="009208BD">
      <w:r w:rsidRPr="009208BD">
        <w:t>Small and medium</w:t>
      </w:r>
      <w:r w:rsidR="00EC7A4D">
        <w:t xml:space="preserve"> sized</w:t>
      </w:r>
      <w:r w:rsidRPr="009208BD">
        <w:t xml:space="preserve"> business entities and NFPs with aggregated annual turnover under $50 million and that employ workers will be eligible. Eligibility will generally be based on prior year turnover. </w:t>
      </w:r>
    </w:p>
    <w:p w14:paraId="64C42CBB" w14:textId="77777777" w:rsidR="009208BD" w:rsidRPr="00425CD9" w:rsidRDefault="009208BD" w:rsidP="001A5F9E">
      <w:pPr>
        <w:pStyle w:val="Bullet"/>
      </w:pPr>
      <w:r w:rsidRPr="001A5F9E">
        <w:rPr>
          <w:color w:val="auto"/>
        </w:rPr>
        <w:t xml:space="preserve">The payment will be delivered by the ATO as an automatic credit in the activity statement system from 28 April 2020 upon employers lodging eligible upcoming activity statements. </w:t>
      </w:r>
    </w:p>
    <w:p w14:paraId="54F4E1EA" w14:textId="77777777" w:rsidR="009208BD" w:rsidRPr="00425CD9" w:rsidRDefault="009208BD" w:rsidP="001A5F9E">
      <w:pPr>
        <w:pStyle w:val="Bullet"/>
      </w:pPr>
      <w:r w:rsidRPr="001A5F9E">
        <w:rPr>
          <w:color w:val="auto"/>
        </w:rPr>
        <w:t>Eligible employers that withhold tax to the ATO on their employees’ salary and wages will receive a payment equal to 100 per cent of the amount withheld, up to a maximum payment of $50,000.</w:t>
      </w:r>
    </w:p>
    <w:p w14:paraId="518BC1FF" w14:textId="77777777" w:rsidR="009208BD" w:rsidRPr="00425CD9" w:rsidRDefault="009208BD" w:rsidP="001A5F9E">
      <w:pPr>
        <w:pStyle w:val="Bullet"/>
      </w:pPr>
      <w:r w:rsidRPr="001A5F9E">
        <w:rPr>
          <w:color w:val="auto"/>
        </w:rPr>
        <w:t xml:space="preserve">Eligible employers that pay salary and wages will receive a minimum payment of $10,000, even if they are not required to withhold tax. </w:t>
      </w:r>
    </w:p>
    <w:p w14:paraId="799E345E" w14:textId="6EF82FDD" w:rsidR="009208BD" w:rsidRPr="00425CD9" w:rsidRDefault="009208BD" w:rsidP="001A5F9E">
      <w:pPr>
        <w:pStyle w:val="Bullet"/>
      </w:pPr>
      <w:r w:rsidRPr="001A5F9E">
        <w:rPr>
          <w:color w:val="auto"/>
        </w:rPr>
        <w:lastRenderedPageBreak/>
        <w:t>The payments will only be available to active eligible employers established prior to 12 March 2020. However, charities which are registered with the Australian Charities and Not</w:t>
      </w:r>
      <w:r w:rsidRPr="001A5F9E">
        <w:rPr>
          <w:color w:val="auto"/>
        </w:rPr>
        <w:noBreakHyphen/>
        <w:t>for</w:t>
      </w:r>
      <w:r w:rsidRPr="001A5F9E">
        <w:rPr>
          <w:color w:val="auto"/>
        </w:rPr>
        <w:noBreakHyphen/>
        <w:t>profits Commission will be eligible regardless of when they were registered, subject to</w:t>
      </w:r>
      <w:r w:rsidR="00020A69" w:rsidRPr="001A5F9E">
        <w:rPr>
          <w:color w:val="auto"/>
        </w:rPr>
        <w:t xml:space="preserve"> meeting</w:t>
      </w:r>
      <w:r w:rsidRPr="001A5F9E">
        <w:rPr>
          <w:color w:val="auto"/>
        </w:rPr>
        <w:t xml:space="preserve"> other eligibility requirements. This recognises that new charities may be established in response to the Coronavirus pandemic.</w:t>
      </w:r>
    </w:p>
    <w:p w14:paraId="6702DC06" w14:textId="77777777" w:rsidR="009208BD" w:rsidRPr="009208BD" w:rsidRDefault="009208BD" w:rsidP="004F3737">
      <w:pPr>
        <w:pStyle w:val="Heading3"/>
      </w:pPr>
      <w:r w:rsidRPr="009208BD">
        <w:t>Eligibility - Additional payment</w:t>
      </w:r>
    </w:p>
    <w:p w14:paraId="73BFD0E1" w14:textId="77777777" w:rsidR="009208BD" w:rsidRPr="009208BD" w:rsidRDefault="009208BD" w:rsidP="001A5F9E">
      <w:r w:rsidRPr="009208BD">
        <w:t>To qualify for the additional payment, the entity must continue to be active.</w:t>
      </w:r>
    </w:p>
    <w:p w14:paraId="20BD4DDD" w14:textId="77777777" w:rsidR="009208BD" w:rsidRPr="009208BD" w:rsidRDefault="009208BD" w:rsidP="001A5F9E">
      <w:r w:rsidRPr="009208BD">
        <w:t xml:space="preserve">For monthly activity statement lodgers, the additional payments will be delivered as an automatic credit in the activity statement system. This will be equal to a quarter of their total initial </w:t>
      </w:r>
      <w:r w:rsidRPr="009208BD">
        <w:rPr>
          <w:i/>
        </w:rPr>
        <w:t>Boosting Cash Flow for Employers</w:t>
      </w:r>
      <w:r w:rsidRPr="009208BD">
        <w:t xml:space="preserve"> payment following the </w:t>
      </w:r>
      <w:proofErr w:type="spellStart"/>
      <w:r w:rsidRPr="009208BD">
        <w:t>lodgment</w:t>
      </w:r>
      <w:proofErr w:type="spellEnd"/>
      <w:r w:rsidRPr="009208BD">
        <w:t xml:space="preserve"> of their June 2020, July 2020, August 2020 and September 2020 activity statements (up to a total of $50,000).</w:t>
      </w:r>
    </w:p>
    <w:p w14:paraId="1960D029" w14:textId="110D602B" w:rsidR="009208BD" w:rsidRPr="009208BD" w:rsidRDefault="009208BD" w:rsidP="001A5F9E">
      <w:r w:rsidRPr="009208BD">
        <w:t xml:space="preserve">For quarterly activity statement lodgers the additional payments will be </w:t>
      </w:r>
      <w:r w:rsidR="00596A99">
        <w:t xml:space="preserve">delivered </w:t>
      </w:r>
      <w:r w:rsidRPr="009208BD">
        <w:t xml:space="preserve">as an automatic credit in the activity statement system. This will be equal to half of their total initial </w:t>
      </w:r>
      <w:r w:rsidRPr="009208BD">
        <w:rPr>
          <w:i/>
        </w:rPr>
        <w:t>Boosting Cash Flow for Employers</w:t>
      </w:r>
      <w:r w:rsidRPr="009208BD">
        <w:t xml:space="preserve"> payment following the </w:t>
      </w:r>
      <w:proofErr w:type="spellStart"/>
      <w:r w:rsidRPr="009208BD">
        <w:t>lodgment</w:t>
      </w:r>
      <w:proofErr w:type="spellEnd"/>
      <w:r w:rsidRPr="009208BD">
        <w:t xml:space="preserve"> of their June 2020 and September 2020 activity statements (up to a total of $50,000).</w:t>
      </w:r>
    </w:p>
    <w:p w14:paraId="321E6334" w14:textId="77777777" w:rsidR="009208BD" w:rsidRPr="009208BD" w:rsidRDefault="009208BD" w:rsidP="00596A99">
      <w:pPr>
        <w:spacing w:after="0"/>
        <w:rPr>
          <w:rFonts w:eastAsiaTheme="majorEastAsia" w:cstheme="majorBidi"/>
          <w:szCs w:val="24"/>
        </w:rPr>
      </w:pPr>
      <w:r w:rsidRPr="009208BD">
        <w:rPr>
          <w:rFonts w:eastAsiaTheme="majorEastAsia" w:cstheme="majorBidi"/>
          <w:szCs w:val="24"/>
        </w:rPr>
        <w:t>This measure will benefit around 690,000 businesses employing around 7.8 million people, and around 30,000 NFPs (including charities).</w:t>
      </w:r>
    </w:p>
    <w:p w14:paraId="5D4D7557" w14:textId="77777777" w:rsidR="009208BD" w:rsidRDefault="009208BD" w:rsidP="009208BD">
      <w:pPr>
        <w:pStyle w:val="Heading2"/>
        <w:rPr>
          <w:caps w:val="0"/>
          <w:color w:val="00827F" w:themeColor="accent3"/>
          <w:sz w:val="24"/>
          <w:szCs w:val="24"/>
        </w:rPr>
      </w:pPr>
      <w:r>
        <w:rPr>
          <w:caps w:val="0"/>
          <w:color w:val="00827F" w:themeColor="accent3"/>
          <w:sz w:val="24"/>
          <w:szCs w:val="24"/>
        </w:rPr>
        <w:t xml:space="preserve">Timing - </w:t>
      </w:r>
      <w:r w:rsidRPr="00596A99">
        <w:rPr>
          <w:i/>
          <w:caps w:val="0"/>
          <w:color w:val="00827F" w:themeColor="accent3"/>
          <w:sz w:val="24"/>
          <w:szCs w:val="24"/>
        </w:rPr>
        <w:t>Boost</w:t>
      </w:r>
      <w:r w:rsidRPr="00596A99" w:rsidDel="006C2995">
        <w:rPr>
          <w:i/>
          <w:caps w:val="0"/>
          <w:color w:val="00827F" w:themeColor="accent3"/>
          <w:sz w:val="24"/>
          <w:szCs w:val="24"/>
        </w:rPr>
        <w:t>ing</w:t>
      </w:r>
      <w:r w:rsidRPr="00596A99">
        <w:rPr>
          <w:i/>
          <w:caps w:val="0"/>
          <w:color w:val="00827F" w:themeColor="accent3"/>
          <w:sz w:val="24"/>
          <w:szCs w:val="24"/>
        </w:rPr>
        <w:t xml:space="preserve"> Cash Flow for Employers</w:t>
      </w:r>
      <w:r>
        <w:rPr>
          <w:caps w:val="0"/>
          <w:color w:val="00827F" w:themeColor="accent3"/>
          <w:sz w:val="24"/>
          <w:szCs w:val="24"/>
        </w:rPr>
        <w:t xml:space="preserve"> payments</w:t>
      </w:r>
    </w:p>
    <w:p w14:paraId="4A39ABB6" w14:textId="00D00A88" w:rsidR="00636AD1" w:rsidRDefault="009208BD" w:rsidP="00CB3672">
      <w:pPr>
        <w:keepNext/>
      </w:pPr>
      <w:r>
        <w:t xml:space="preserve">The </w:t>
      </w:r>
      <w:r w:rsidRPr="0034032A">
        <w:rPr>
          <w:i/>
        </w:rPr>
        <w:t>Boost</w:t>
      </w:r>
      <w:r w:rsidRPr="0034032A" w:rsidDel="006C2995">
        <w:rPr>
          <w:i/>
        </w:rPr>
        <w:t>ing</w:t>
      </w:r>
      <w:r w:rsidRPr="0034032A">
        <w:rPr>
          <w:i/>
        </w:rPr>
        <w:t xml:space="preserve"> Cash Flow for Employers</w:t>
      </w:r>
      <w:r>
        <w:t xml:space="preserve"> payment</w:t>
      </w:r>
      <w:r w:rsidR="00C0378C">
        <w:t xml:space="preserve"> will be applied </w:t>
      </w:r>
      <w:r w:rsidR="00020A69">
        <w:t>to</w:t>
      </w:r>
      <w:r w:rsidR="00C0378C">
        <w:t xml:space="preserve"> a limited number of activity statement </w:t>
      </w:r>
      <w:proofErr w:type="spellStart"/>
      <w:r w:rsidR="00C0378C">
        <w:t>lodgments</w:t>
      </w:r>
      <w:proofErr w:type="spellEnd"/>
      <w:r w:rsidR="00C0378C">
        <w:t xml:space="preserve">. The ATO will deliver the payment as a credit to the </w:t>
      </w:r>
      <w:r>
        <w:t>entity</w:t>
      </w:r>
      <w:r w:rsidR="00C0378C">
        <w:t xml:space="preserve"> upon </w:t>
      </w:r>
      <w:proofErr w:type="spellStart"/>
      <w:r w:rsidR="00C0378C">
        <w:t>lodgment</w:t>
      </w:r>
      <w:proofErr w:type="spellEnd"/>
      <w:r w:rsidR="00C0378C">
        <w:t xml:space="preserve"> of their activity statements. Where this places the </w:t>
      </w:r>
      <w:r>
        <w:t>entity</w:t>
      </w:r>
      <w:r w:rsidR="00C0378C">
        <w:t xml:space="preserve"> in a refund position, the ATO will deliver the refund within 14</w:t>
      </w:r>
      <w:r>
        <w:t> </w:t>
      </w:r>
      <w:r w:rsidR="00C0378C">
        <w:t>days</w:t>
      </w:r>
      <w:r w:rsidR="009A0D40">
        <w:t>.</w:t>
      </w:r>
    </w:p>
    <w:tbl>
      <w:tblPr>
        <w:tblStyle w:val="ListTable3-Accent3"/>
        <w:tblpPr w:leftFromText="180" w:rightFromText="180" w:vertAnchor="text" w:horzAnchor="margin" w:tblpXSpec="center" w:tblpY="18"/>
        <w:tblW w:w="9635" w:type="dxa"/>
        <w:tblLook w:val="0420" w:firstRow="1" w:lastRow="0" w:firstColumn="0" w:lastColumn="0" w:noHBand="0" w:noVBand="1"/>
      </w:tblPr>
      <w:tblGrid>
        <w:gridCol w:w="3398"/>
        <w:gridCol w:w="3827"/>
        <w:gridCol w:w="2410"/>
      </w:tblGrid>
      <w:tr w:rsidR="00636AD1" w:rsidRPr="00F919A7" w14:paraId="5AA69FD4" w14:textId="77777777" w:rsidTr="001333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4"/>
        </w:trPr>
        <w:tc>
          <w:tcPr>
            <w:tcW w:w="3398" w:type="dxa"/>
            <w:hideMark/>
          </w:tcPr>
          <w:p w14:paraId="7564D052" w14:textId="155C3845" w:rsidR="00636AD1" w:rsidRPr="001333F4" w:rsidRDefault="00636AD1" w:rsidP="001333F4">
            <w:pPr>
              <w:pStyle w:val="Tablecolumnheading"/>
              <w:rPr>
                <w:b/>
                <w:szCs w:val="36"/>
                <w:lang w:eastAsia="en-AU"/>
              </w:rPr>
            </w:pPr>
            <w:r w:rsidRPr="001333F4">
              <w:rPr>
                <w:b/>
                <w:lang w:eastAsia="en-AU"/>
              </w:rPr>
              <w:t>Type of lodger</w:t>
            </w:r>
            <w:r w:rsidR="001333F4" w:rsidRPr="001333F4">
              <w:rPr>
                <w:b/>
                <w:lang w:eastAsia="en-AU"/>
              </w:rPr>
              <w:t xml:space="preserve"> </w:t>
            </w:r>
          </w:p>
        </w:tc>
        <w:tc>
          <w:tcPr>
            <w:tcW w:w="3827" w:type="dxa"/>
            <w:hideMark/>
          </w:tcPr>
          <w:p w14:paraId="3798D98B" w14:textId="77777777" w:rsidR="00636AD1" w:rsidRPr="001333F4" w:rsidRDefault="00636AD1" w:rsidP="001333F4">
            <w:pPr>
              <w:pStyle w:val="Tablecolumnheading"/>
              <w:rPr>
                <w:b/>
                <w:szCs w:val="36"/>
                <w:lang w:eastAsia="en-AU"/>
              </w:rPr>
            </w:pPr>
            <w:r w:rsidRPr="001333F4">
              <w:rPr>
                <w:b/>
                <w:lang w:eastAsia="en-AU"/>
              </w:rPr>
              <w:t>Eligible period</w:t>
            </w:r>
          </w:p>
        </w:tc>
        <w:tc>
          <w:tcPr>
            <w:tcW w:w="2410" w:type="dxa"/>
            <w:hideMark/>
          </w:tcPr>
          <w:p w14:paraId="7DDE77CB" w14:textId="77777777" w:rsidR="00636AD1" w:rsidRPr="001333F4" w:rsidRDefault="00636AD1" w:rsidP="001333F4">
            <w:pPr>
              <w:pStyle w:val="Tablecolumnheading"/>
              <w:rPr>
                <w:b/>
                <w:szCs w:val="36"/>
                <w:lang w:eastAsia="en-AU"/>
              </w:rPr>
            </w:pPr>
            <w:proofErr w:type="spellStart"/>
            <w:r w:rsidRPr="001333F4">
              <w:rPr>
                <w:b/>
                <w:lang w:eastAsia="en-AU"/>
              </w:rPr>
              <w:t>Lodgment</w:t>
            </w:r>
            <w:proofErr w:type="spellEnd"/>
            <w:r w:rsidRPr="001333F4">
              <w:rPr>
                <w:b/>
                <w:lang w:eastAsia="en-AU"/>
              </w:rPr>
              <w:t xml:space="preserve"> due date</w:t>
            </w:r>
          </w:p>
        </w:tc>
      </w:tr>
      <w:tr w:rsidR="00636AD1" w:rsidRPr="00F919A7" w14:paraId="0F90E132" w14:textId="77777777" w:rsidTr="001333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tcW w:w="3398" w:type="dxa"/>
            <w:hideMark/>
          </w:tcPr>
          <w:p w14:paraId="454E763C" w14:textId="6194CCC8" w:rsidR="00636AD1" w:rsidRPr="001333F4" w:rsidRDefault="00636AD1" w:rsidP="001333F4">
            <w:pPr>
              <w:jc w:val="center"/>
              <w:rPr>
                <w:b/>
                <w:szCs w:val="36"/>
                <w:lang w:eastAsia="en-AU"/>
              </w:rPr>
            </w:pPr>
            <w:r w:rsidRPr="001333F4">
              <w:rPr>
                <w:b/>
                <w:lang w:eastAsia="en-AU"/>
              </w:rPr>
              <w:t>Quarterly</w:t>
            </w:r>
          </w:p>
        </w:tc>
        <w:tc>
          <w:tcPr>
            <w:tcW w:w="3827" w:type="dxa"/>
            <w:hideMark/>
          </w:tcPr>
          <w:p w14:paraId="6E1ABD0D" w14:textId="28E61E30" w:rsidR="00636AD1" w:rsidRPr="009208BD" w:rsidRDefault="00636AD1" w:rsidP="001333F4">
            <w:pPr>
              <w:jc w:val="center"/>
              <w:rPr>
                <w:lang w:eastAsia="en-AU"/>
              </w:rPr>
            </w:pPr>
            <w:r w:rsidRPr="00F919A7">
              <w:rPr>
                <w:lang w:eastAsia="en-AU"/>
              </w:rPr>
              <w:t>Quarter 3 (January, February and March</w:t>
            </w:r>
            <w:r>
              <w:rPr>
                <w:lang w:eastAsia="en-AU"/>
              </w:rPr>
              <w:t xml:space="preserve"> 2020</w:t>
            </w:r>
            <w:r w:rsidRPr="00F919A7">
              <w:rPr>
                <w:lang w:eastAsia="en-AU"/>
              </w:rPr>
              <w:t>)</w:t>
            </w:r>
            <w:r>
              <w:rPr>
                <w:lang w:eastAsia="en-AU"/>
              </w:rPr>
              <w:br/>
            </w:r>
            <w:r w:rsidRPr="00F919A7">
              <w:rPr>
                <w:lang w:eastAsia="en-AU"/>
              </w:rPr>
              <w:t xml:space="preserve">Quarter </w:t>
            </w:r>
            <w:r>
              <w:rPr>
                <w:lang w:eastAsia="en-AU"/>
              </w:rPr>
              <w:t>4</w:t>
            </w:r>
            <w:r w:rsidRPr="00F919A7">
              <w:rPr>
                <w:lang w:eastAsia="en-AU"/>
              </w:rPr>
              <w:t xml:space="preserve"> (</w:t>
            </w:r>
            <w:r>
              <w:rPr>
                <w:lang w:eastAsia="en-AU"/>
              </w:rPr>
              <w:t>April, May and June 2020</w:t>
            </w:r>
            <w:r w:rsidRPr="00F919A7">
              <w:rPr>
                <w:lang w:eastAsia="en-AU"/>
              </w:rPr>
              <w:t>)</w:t>
            </w:r>
          </w:p>
        </w:tc>
        <w:tc>
          <w:tcPr>
            <w:tcW w:w="2410" w:type="dxa"/>
            <w:hideMark/>
          </w:tcPr>
          <w:p w14:paraId="59BE741B" w14:textId="0A6BB768" w:rsidR="00636AD1" w:rsidRDefault="00636AD1" w:rsidP="001333F4">
            <w:pPr>
              <w:jc w:val="center"/>
              <w:rPr>
                <w:lang w:eastAsia="en-AU"/>
              </w:rPr>
            </w:pPr>
            <w:r w:rsidRPr="00F919A7">
              <w:rPr>
                <w:lang w:eastAsia="en-AU"/>
              </w:rPr>
              <w:t>28 April 2020</w:t>
            </w:r>
          </w:p>
          <w:p w14:paraId="7A7903BA" w14:textId="77777777" w:rsidR="00636AD1" w:rsidRPr="00F919A7" w:rsidRDefault="00636AD1" w:rsidP="001333F4">
            <w:pPr>
              <w:jc w:val="center"/>
              <w:rPr>
                <w:szCs w:val="36"/>
                <w:lang w:eastAsia="en-AU"/>
              </w:rPr>
            </w:pPr>
            <w:r>
              <w:rPr>
                <w:lang w:eastAsia="en-AU"/>
              </w:rPr>
              <w:t>28 July 2020</w:t>
            </w:r>
          </w:p>
        </w:tc>
      </w:tr>
      <w:tr w:rsidR="00636AD1" w:rsidRPr="00F919A7" w14:paraId="2CA049B1" w14:textId="77777777" w:rsidTr="001333F4">
        <w:trPr>
          <w:trHeight w:val="20"/>
        </w:trPr>
        <w:tc>
          <w:tcPr>
            <w:tcW w:w="3398" w:type="dxa"/>
            <w:hideMark/>
          </w:tcPr>
          <w:p w14:paraId="441C00EC" w14:textId="24810341" w:rsidR="00636AD1" w:rsidRPr="001333F4" w:rsidRDefault="00636AD1" w:rsidP="001333F4">
            <w:pPr>
              <w:jc w:val="center"/>
              <w:rPr>
                <w:b/>
                <w:szCs w:val="36"/>
                <w:lang w:eastAsia="en-AU"/>
              </w:rPr>
            </w:pPr>
            <w:r w:rsidRPr="001333F4">
              <w:rPr>
                <w:b/>
                <w:lang w:eastAsia="en-AU"/>
              </w:rPr>
              <w:t>Monthly</w:t>
            </w:r>
          </w:p>
        </w:tc>
        <w:tc>
          <w:tcPr>
            <w:tcW w:w="3827" w:type="dxa"/>
            <w:hideMark/>
          </w:tcPr>
          <w:p w14:paraId="015C3BB3" w14:textId="3E9C0FCC" w:rsidR="00636AD1" w:rsidRPr="00F919A7" w:rsidRDefault="00636AD1" w:rsidP="001333F4">
            <w:pPr>
              <w:jc w:val="center"/>
              <w:rPr>
                <w:szCs w:val="36"/>
                <w:lang w:eastAsia="en-AU"/>
              </w:rPr>
            </w:pPr>
            <w:r w:rsidRPr="00F919A7">
              <w:rPr>
                <w:lang w:eastAsia="en-AU"/>
              </w:rPr>
              <w:t>March 2020</w:t>
            </w:r>
          </w:p>
          <w:p w14:paraId="4A6AECF6" w14:textId="77777777" w:rsidR="00636AD1" w:rsidRPr="00F919A7" w:rsidRDefault="00636AD1" w:rsidP="001333F4">
            <w:pPr>
              <w:jc w:val="center"/>
              <w:rPr>
                <w:szCs w:val="36"/>
                <w:lang w:eastAsia="en-AU"/>
              </w:rPr>
            </w:pPr>
            <w:r w:rsidRPr="00F919A7">
              <w:rPr>
                <w:lang w:eastAsia="en-AU"/>
              </w:rPr>
              <w:t>April 2020</w:t>
            </w:r>
          </w:p>
          <w:p w14:paraId="03117649" w14:textId="77777777" w:rsidR="00636AD1" w:rsidRDefault="00636AD1" w:rsidP="001333F4">
            <w:pPr>
              <w:jc w:val="center"/>
              <w:rPr>
                <w:lang w:eastAsia="en-AU"/>
              </w:rPr>
            </w:pPr>
            <w:r w:rsidRPr="00F919A7">
              <w:rPr>
                <w:lang w:eastAsia="en-AU"/>
              </w:rPr>
              <w:t>May 2020</w:t>
            </w:r>
          </w:p>
          <w:p w14:paraId="4FF37016" w14:textId="77777777" w:rsidR="00636AD1" w:rsidRPr="00F919A7" w:rsidRDefault="00636AD1" w:rsidP="001333F4">
            <w:pPr>
              <w:jc w:val="center"/>
              <w:rPr>
                <w:szCs w:val="36"/>
                <w:lang w:eastAsia="en-AU"/>
              </w:rPr>
            </w:pPr>
            <w:r>
              <w:rPr>
                <w:lang w:eastAsia="en-AU"/>
              </w:rPr>
              <w:t>June 2020</w:t>
            </w:r>
          </w:p>
        </w:tc>
        <w:tc>
          <w:tcPr>
            <w:tcW w:w="2410" w:type="dxa"/>
            <w:hideMark/>
          </w:tcPr>
          <w:p w14:paraId="491FE438" w14:textId="77777777" w:rsidR="00636AD1" w:rsidRPr="00F919A7" w:rsidRDefault="00636AD1" w:rsidP="001333F4">
            <w:pPr>
              <w:jc w:val="center"/>
              <w:rPr>
                <w:szCs w:val="36"/>
                <w:lang w:eastAsia="en-AU"/>
              </w:rPr>
            </w:pPr>
            <w:r w:rsidRPr="00F919A7">
              <w:rPr>
                <w:lang w:eastAsia="en-AU"/>
              </w:rPr>
              <w:t>21 April 2020</w:t>
            </w:r>
          </w:p>
          <w:p w14:paraId="67831C39" w14:textId="77777777" w:rsidR="00636AD1" w:rsidRPr="00F919A7" w:rsidRDefault="00636AD1" w:rsidP="001333F4">
            <w:pPr>
              <w:jc w:val="center"/>
              <w:rPr>
                <w:szCs w:val="36"/>
                <w:lang w:eastAsia="en-AU"/>
              </w:rPr>
            </w:pPr>
            <w:r w:rsidRPr="00F919A7">
              <w:rPr>
                <w:lang w:eastAsia="en-AU"/>
              </w:rPr>
              <w:t>21 May 2020</w:t>
            </w:r>
          </w:p>
          <w:p w14:paraId="2BDE956B" w14:textId="77777777" w:rsidR="00636AD1" w:rsidRDefault="00636AD1" w:rsidP="001333F4">
            <w:pPr>
              <w:jc w:val="center"/>
              <w:rPr>
                <w:lang w:eastAsia="en-AU"/>
              </w:rPr>
            </w:pPr>
            <w:r w:rsidRPr="00F919A7">
              <w:rPr>
                <w:lang w:eastAsia="en-AU"/>
              </w:rPr>
              <w:t>2</w:t>
            </w:r>
            <w:r>
              <w:rPr>
                <w:lang w:eastAsia="en-AU"/>
              </w:rPr>
              <w:t>2</w:t>
            </w:r>
            <w:r w:rsidRPr="00F919A7">
              <w:rPr>
                <w:lang w:eastAsia="en-AU"/>
              </w:rPr>
              <w:t xml:space="preserve"> June 2020</w:t>
            </w:r>
          </w:p>
          <w:p w14:paraId="1516F421" w14:textId="77777777" w:rsidR="00636AD1" w:rsidRPr="00F919A7" w:rsidRDefault="00636AD1" w:rsidP="001333F4">
            <w:pPr>
              <w:jc w:val="center"/>
              <w:rPr>
                <w:szCs w:val="36"/>
                <w:lang w:eastAsia="en-AU"/>
              </w:rPr>
            </w:pPr>
            <w:r>
              <w:rPr>
                <w:lang w:eastAsia="en-AU"/>
              </w:rPr>
              <w:t>21 July 2020</w:t>
            </w:r>
          </w:p>
        </w:tc>
      </w:tr>
    </w:tbl>
    <w:p w14:paraId="256A55B2" w14:textId="03720858" w:rsidR="009208BD" w:rsidRDefault="009208BD" w:rsidP="009208BD">
      <w:r>
        <w:t xml:space="preserve">Quarterly lodgers will be eligible to receive the payment for the quarters ending March 2020 and June 2020. </w:t>
      </w:r>
    </w:p>
    <w:p w14:paraId="7B66579D" w14:textId="77777777" w:rsidR="009208BD" w:rsidRDefault="009208BD" w:rsidP="009208BD">
      <w:r>
        <w:t xml:space="preserve">Monthly lodgers will be eligible to receive the payment for the March 2020, April 2020, May 2020 and June 2020 </w:t>
      </w:r>
      <w:proofErr w:type="spellStart"/>
      <w:r>
        <w:t>lodgments</w:t>
      </w:r>
      <w:proofErr w:type="spellEnd"/>
      <w:r>
        <w:t>. To provide a similar treatment to quarterly lodgers, the payment for monthly lodgers will be calculated at three times the rate (300 per cent) in the March 2020 activity statement.</w:t>
      </w:r>
    </w:p>
    <w:p w14:paraId="203C2CF4" w14:textId="77777777" w:rsidR="009208BD" w:rsidRDefault="009208BD" w:rsidP="009208BD">
      <w:r>
        <w:t xml:space="preserve">The minimum payment will be applied to the entities’ first </w:t>
      </w:r>
      <w:proofErr w:type="spellStart"/>
      <w:r>
        <w:t>lodgment</w:t>
      </w:r>
      <w:proofErr w:type="spellEnd"/>
      <w:r>
        <w:t xml:space="preserve">. </w:t>
      </w:r>
    </w:p>
    <w:p w14:paraId="46F5A22D" w14:textId="77777777" w:rsidR="009208BD" w:rsidRPr="007853BB" w:rsidRDefault="009208BD" w:rsidP="004F3737">
      <w:pPr>
        <w:pStyle w:val="Heading3"/>
      </w:pPr>
      <w:r>
        <w:t>Timing - A</w:t>
      </w:r>
      <w:r w:rsidRPr="002A6B0F">
        <w:t xml:space="preserve">dditional payment </w:t>
      </w:r>
    </w:p>
    <w:p w14:paraId="074CDE14" w14:textId="106E702F" w:rsidR="004C0D28" w:rsidRDefault="009208BD" w:rsidP="009208BD">
      <w:r>
        <w:t xml:space="preserve">The additional </w:t>
      </w:r>
      <w:r w:rsidRPr="002518DC">
        <w:t xml:space="preserve">payment will be applied </w:t>
      </w:r>
      <w:r w:rsidR="00020A69">
        <w:t>to</w:t>
      </w:r>
      <w:r>
        <w:t xml:space="preserve"> a limited number of activity statement </w:t>
      </w:r>
      <w:proofErr w:type="spellStart"/>
      <w:r>
        <w:t>lodgments</w:t>
      </w:r>
      <w:proofErr w:type="spellEnd"/>
      <w:r>
        <w:t xml:space="preserve">. The ATO will deliver the payment as a credit to the entity upon </w:t>
      </w:r>
      <w:proofErr w:type="spellStart"/>
      <w:r>
        <w:t>lodgment</w:t>
      </w:r>
      <w:proofErr w:type="spellEnd"/>
      <w:r>
        <w:t xml:space="preserve"> of their activity statements. Where this places the entity in a refund position, the ATO will deliver the refund within 14 days.</w:t>
      </w:r>
      <w:r w:rsidR="004C0D28">
        <w:br w:type="page"/>
      </w:r>
    </w:p>
    <w:tbl>
      <w:tblPr>
        <w:tblStyle w:val="ListTable3-Accent3"/>
        <w:tblpPr w:leftFromText="180" w:rightFromText="180" w:vertAnchor="text" w:horzAnchor="margin" w:tblpXSpec="center" w:tblpY="18"/>
        <w:tblW w:w="9640" w:type="dxa"/>
        <w:tblLook w:val="0420" w:firstRow="1" w:lastRow="0" w:firstColumn="0" w:lastColumn="0" w:noHBand="0" w:noVBand="1"/>
      </w:tblPr>
      <w:tblGrid>
        <w:gridCol w:w="3403"/>
        <w:gridCol w:w="3827"/>
        <w:gridCol w:w="2410"/>
      </w:tblGrid>
      <w:tr w:rsidR="009208BD" w:rsidRPr="00F919A7" w14:paraId="6FEEFC3B" w14:textId="77777777" w:rsidTr="001333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4"/>
        </w:trPr>
        <w:tc>
          <w:tcPr>
            <w:tcW w:w="3403" w:type="dxa"/>
            <w:hideMark/>
          </w:tcPr>
          <w:p w14:paraId="4CD81CC9" w14:textId="77777777" w:rsidR="009208BD" w:rsidRPr="001333F4" w:rsidRDefault="009208BD" w:rsidP="001333F4">
            <w:pPr>
              <w:pStyle w:val="Tablecolumnheading"/>
              <w:rPr>
                <w:b/>
                <w:szCs w:val="36"/>
                <w:lang w:eastAsia="en-AU"/>
              </w:rPr>
            </w:pPr>
            <w:r w:rsidRPr="001333F4">
              <w:rPr>
                <w:b/>
                <w:lang w:eastAsia="en-AU"/>
              </w:rPr>
              <w:lastRenderedPageBreak/>
              <w:t>Type of lodger</w:t>
            </w:r>
          </w:p>
        </w:tc>
        <w:tc>
          <w:tcPr>
            <w:tcW w:w="3827" w:type="dxa"/>
            <w:hideMark/>
          </w:tcPr>
          <w:p w14:paraId="19D52310" w14:textId="77777777" w:rsidR="009208BD" w:rsidRPr="001333F4" w:rsidRDefault="009208BD" w:rsidP="001333F4">
            <w:pPr>
              <w:pStyle w:val="Tablecolumnheading"/>
              <w:rPr>
                <w:b/>
                <w:szCs w:val="36"/>
                <w:lang w:eastAsia="en-AU"/>
              </w:rPr>
            </w:pPr>
            <w:r w:rsidRPr="001333F4">
              <w:rPr>
                <w:b/>
                <w:lang w:eastAsia="en-AU"/>
              </w:rPr>
              <w:t>Eligible period</w:t>
            </w:r>
          </w:p>
        </w:tc>
        <w:tc>
          <w:tcPr>
            <w:tcW w:w="2410" w:type="dxa"/>
            <w:hideMark/>
          </w:tcPr>
          <w:p w14:paraId="20AEE0B3" w14:textId="77777777" w:rsidR="009208BD" w:rsidRPr="001333F4" w:rsidRDefault="009208BD" w:rsidP="001333F4">
            <w:pPr>
              <w:pStyle w:val="Tablecolumnheading"/>
              <w:rPr>
                <w:b/>
                <w:szCs w:val="36"/>
                <w:lang w:eastAsia="en-AU"/>
              </w:rPr>
            </w:pPr>
            <w:proofErr w:type="spellStart"/>
            <w:r w:rsidRPr="001333F4">
              <w:rPr>
                <w:b/>
                <w:lang w:eastAsia="en-AU"/>
              </w:rPr>
              <w:t>Lodgment</w:t>
            </w:r>
            <w:proofErr w:type="spellEnd"/>
            <w:r w:rsidRPr="001333F4">
              <w:rPr>
                <w:b/>
                <w:lang w:eastAsia="en-AU"/>
              </w:rPr>
              <w:t xml:space="preserve"> due date</w:t>
            </w:r>
          </w:p>
        </w:tc>
      </w:tr>
      <w:tr w:rsidR="009208BD" w:rsidRPr="00F919A7" w14:paraId="2FF9E782" w14:textId="77777777" w:rsidTr="001333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tcW w:w="3403" w:type="dxa"/>
            <w:hideMark/>
          </w:tcPr>
          <w:p w14:paraId="3E4F4F08" w14:textId="4C9109C8" w:rsidR="009208BD" w:rsidRPr="001333F4" w:rsidRDefault="009208BD" w:rsidP="001333F4">
            <w:pPr>
              <w:jc w:val="center"/>
              <w:rPr>
                <w:b/>
                <w:szCs w:val="36"/>
                <w:lang w:eastAsia="en-AU"/>
              </w:rPr>
            </w:pPr>
            <w:r w:rsidRPr="001333F4">
              <w:rPr>
                <w:b/>
                <w:lang w:eastAsia="en-AU"/>
              </w:rPr>
              <w:t>Quarterly</w:t>
            </w:r>
          </w:p>
        </w:tc>
        <w:tc>
          <w:tcPr>
            <w:tcW w:w="3827" w:type="dxa"/>
            <w:hideMark/>
          </w:tcPr>
          <w:p w14:paraId="0397B975" w14:textId="77777777" w:rsidR="009208BD" w:rsidRDefault="009208BD" w:rsidP="001333F4">
            <w:pPr>
              <w:jc w:val="center"/>
              <w:rPr>
                <w:lang w:eastAsia="en-AU"/>
              </w:rPr>
            </w:pPr>
            <w:r w:rsidRPr="00F919A7">
              <w:rPr>
                <w:lang w:eastAsia="en-AU"/>
              </w:rPr>
              <w:t xml:space="preserve">Quarter </w:t>
            </w:r>
            <w:r>
              <w:rPr>
                <w:lang w:eastAsia="en-AU"/>
              </w:rPr>
              <w:t>4</w:t>
            </w:r>
            <w:r w:rsidRPr="00F919A7">
              <w:rPr>
                <w:lang w:eastAsia="en-AU"/>
              </w:rPr>
              <w:t xml:space="preserve"> (</w:t>
            </w:r>
            <w:r>
              <w:rPr>
                <w:lang w:eastAsia="en-AU"/>
              </w:rPr>
              <w:t>April, May and June 2020</w:t>
            </w:r>
            <w:r w:rsidRPr="00F919A7">
              <w:rPr>
                <w:lang w:eastAsia="en-AU"/>
              </w:rPr>
              <w:t>)</w:t>
            </w:r>
          </w:p>
          <w:p w14:paraId="6EB25EEB" w14:textId="77777777" w:rsidR="009208BD" w:rsidRPr="00F919A7" w:rsidRDefault="009208BD" w:rsidP="001333F4">
            <w:pPr>
              <w:jc w:val="center"/>
              <w:rPr>
                <w:szCs w:val="36"/>
                <w:lang w:eastAsia="en-AU"/>
              </w:rPr>
            </w:pPr>
            <w:r>
              <w:rPr>
                <w:lang w:eastAsia="en-AU"/>
              </w:rPr>
              <w:t>Quarter 1 (July, August and September 2020)</w:t>
            </w:r>
          </w:p>
        </w:tc>
        <w:tc>
          <w:tcPr>
            <w:tcW w:w="2410" w:type="dxa"/>
            <w:hideMark/>
          </w:tcPr>
          <w:p w14:paraId="4BF05E06" w14:textId="77777777" w:rsidR="009208BD" w:rsidRDefault="009208BD" w:rsidP="001333F4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t>28 July 2020</w:t>
            </w:r>
          </w:p>
          <w:p w14:paraId="5F53E15F" w14:textId="77777777" w:rsidR="009208BD" w:rsidRPr="00F919A7" w:rsidRDefault="009208BD" w:rsidP="001333F4">
            <w:pPr>
              <w:jc w:val="center"/>
              <w:rPr>
                <w:szCs w:val="36"/>
                <w:lang w:eastAsia="en-AU"/>
              </w:rPr>
            </w:pPr>
            <w:r>
              <w:rPr>
                <w:lang w:eastAsia="en-AU"/>
              </w:rPr>
              <w:t>28 October 2020</w:t>
            </w:r>
          </w:p>
        </w:tc>
      </w:tr>
      <w:tr w:rsidR="009208BD" w:rsidRPr="00F919A7" w14:paraId="321DEF67" w14:textId="77777777" w:rsidTr="001333F4">
        <w:trPr>
          <w:trHeight w:val="20"/>
        </w:trPr>
        <w:tc>
          <w:tcPr>
            <w:tcW w:w="3403" w:type="dxa"/>
            <w:hideMark/>
          </w:tcPr>
          <w:p w14:paraId="21333295" w14:textId="733109C8" w:rsidR="009208BD" w:rsidRPr="001333F4" w:rsidRDefault="009208BD" w:rsidP="001333F4">
            <w:pPr>
              <w:jc w:val="center"/>
              <w:rPr>
                <w:b/>
                <w:szCs w:val="36"/>
                <w:lang w:eastAsia="en-AU"/>
              </w:rPr>
            </w:pPr>
            <w:r w:rsidRPr="001333F4">
              <w:rPr>
                <w:b/>
                <w:lang w:eastAsia="en-AU"/>
              </w:rPr>
              <w:t>Monthly</w:t>
            </w:r>
          </w:p>
        </w:tc>
        <w:tc>
          <w:tcPr>
            <w:tcW w:w="3827" w:type="dxa"/>
            <w:hideMark/>
          </w:tcPr>
          <w:p w14:paraId="44283520" w14:textId="77777777" w:rsidR="009208BD" w:rsidRDefault="009208BD" w:rsidP="001333F4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t>June 2020</w:t>
            </w:r>
          </w:p>
          <w:p w14:paraId="558AF2E7" w14:textId="77777777" w:rsidR="009208BD" w:rsidRDefault="009208BD" w:rsidP="001333F4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t>July 2020</w:t>
            </w:r>
          </w:p>
          <w:p w14:paraId="4E955F6F" w14:textId="77777777" w:rsidR="009208BD" w:rsidRDefault="009208BD" w:rsidP="001333F4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t>August 2020</w:t>
            </w:r>
          </w:p>
          <w:p w14:paraId="537B0528" w14:textId="77777777" w:rsidR="009208BD" w:rsidRPr="00F919A7" w:rsidRDefault="009208BD" w:rsidP="001333F4">
            <w:pPr>
              <w:jc w:val="center"/>
              <w:rPr>
                <w:szCs w:val="36"/>
                <w:lang w:eastAsia="en-AU"/>
              </w:rPr>
            </w:pPr>
            <w:r>
              <w:rPr>
                <w:lang w:eastAsia="en-AU"/>
              </w:rPr>
              <w:t>September 2020</w:t>
            </w:r>
          </w:p>
        </w:tc>
        <w:tc>
          <w:tcPr>
            <w:tcW w:w="2410" w:type="dxa"/>
            <w:hideMark/>
          </w:tcPr>
          <w:p w14:paraId="3181B596" w14:textId="77777777" w:rsidR="009208BD" w:rsidRDefault="009208BD" w:rsidP="001333F4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t>21 July 2020</w:t>
            </w:r>
          </w:p>
          <w:p w14:paraId="581FFE1A" w14:textId="77777777" w:rsidR="009208BD" w:rsidRDefault="009208BD" w:rsidP="001333F4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t>21 August 2020</w:t>
            </w:r>
          </w:p>
          <w:p w14:paraId="5E6417A4" w14:textId="77777777" w:rsidR="009208BD" w:rsidRDefault="009208BD" w:rsidP="001333F4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t>21 September 2020</w:t>
            </w:r>
          </w:p>
          <w:p w14:paraId="40EBD382" w14:textId="77777777" w:rsidR="009208BD" w:rsidRPr="00F919A7" w:rsidRDefault="009208BD" w:rsidP="001333F4">
            <w:pPr>
              <w:jc w:val="center"/>
              <w:rPr>
                <w:szCs w:val="36"/>
                <w:lang w:eastAsia="en-AU"/>
              </w:rPr>
            </w:pPr>
            <w:r>
              <w:rPr>
                <w:lang w:eastAsia="en-AU"/>
              </w:rPr>
              <w:t>21 October 2020</w:t>
            </w:r>
          </w:p>
        </w:tc>
      </w:tr>
    </w:tbl>
    <w:p w14:paraId="36A7016F" w14:textId="77777777" w:rsidR="009208BD" w:rsidRDefault="009208BD" w:rsidP="009208BD">
      <w:r>
        <w:t xml:space="preserve">Quarterly lodgers will be eligible to receive the additional payment for the quarters ending June 2020 and September 2020. Each additional payment will be equal to half </w:t>
      </w:r>
      <w:r w:rsidRPr="00B71A9E">
        <w:t xml:space="preserve">of their total initial </w:t>
      </w:r>
      <w:r w:rsidRPr="00B71A9E">
        <w:rPr>
          <w:i/>
        </w:rPr>
        <w:t>Boosting Cash Flow for Employers</w:t>
      </w:r>
      <w:r w:rsidRPr="00B71A9E">
        <w:t xml:space="preserve"> payment</w:t>
      </w:r>
      <w:r w:rsidDel="004B6FFA">
        <w:t xml:space="preserve"> </w:t>
      </w:r>
      <w:r>
        <w:t xml:space="preserve">(up to a total of $50,000). </w:t>
      </w:r>
    </w:p>
    <w:p w14:paraId="3FEECC80" w14:textId="77777777" w:rsidR="009208BD" w:rsidRDefault="009208BD" w:rsidP="009208BD">
      <w:r>
        <w:t xml:space="preserve">Monthly lodgers will be eligible to receive the additional payment for the June 2020, July 2020, August 2020 and September 2020 </w:t>
      </w:r>
      <w:proofErr w:type="spellStart"/>
      <w:r>
        <w:t>lodgments</w:t>
      </w:r>
      <w:proofErr w:type="spellEnd"/>
      <w:r>
        <w:t xml:space="preserve">. Each additional payment will be equal to a quarter of their total initial </w:t>
      </w:r>
      <w:r w:rsidRPr="00160CFF">
        <w:rPr>
          <w:i/>
        </w:rPr>
        <w:t>Boosting Cash Flow for Employers</w:t>
      </w:r>
      <w:r w:rsidRPr="00160CFF">
        <w:t xml:space="preserve"> payment</w:t>
      </w:r>
      <w:r w:rsidDel="004B6FFA">
        <w:t xml:space="preserve"> </w:t>
      </w:r>
      <w:r>
        <w:t>(up to a total of $50,000).</w:t>
      </w:r>
    </w:p>
    <w:p w14:paraId="3DA5268E" w14:textId="33159DA2" w:rsidR="00C0378C" w:rsidRDefault="00C0378C" w:rsidP="00C0378C">
      <w:pPr>
        <w:pStyle w:val="Heading3"/>
      </w:pPr>
      <w:r>
        <w:t>Budget impact</w:t>
      </w:r>
    </w:p>
    <w:p w14:paraId="69BCDD73" w14:textId="77777777" w:rsidR="009208BD" w:rsidRDefault="009208BD" w:rsidP="009208BD">
      <w:r>
        <w:t>This measure is estimated to cost $31.9 billion over the forward estimates period.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D7E1E1"/>
        <w:tblLook w:val="04A0" w:firstRow="1" w:lastRow="0" w:firstColumn="1" w:lastColumn="0" w:noHBand="0" w:noVBand="1"/>
      </w:tblPr>
      <w:tblGrid>
        <w:gridCol w:w="9629"/>
      </w:tblGrid>
      <w:tr w:rsidR="007979D8" w14:paraId="382CB1E1" w14:textId="77777777" w:rsidTr="006E0AD7">
        <w:tc>
          <w:tcPr>
            <w:tcW w:w="9629" w:type="dxa"/>
            <w:shd w:val="clear" w:color="auto" w:fill="D7E1E1"/>
          </w:tcPr>
          <w:p w14:paraId="7F47E0C5" w14:textId="77777777" w:rsidR="00D90662" w:rsidRPr="00792FC3" w:rsidRDefault="00D90662" w:rsidP="00664CD2">
            <w:pPr>
              <w:pStyle w:val="Boxheading"/>
            </w:pPr>
            <w:r w:rsidRPr="00280F1A">
              <w:t>Sarah</w:t>
            </w:r>
            <w:r>
              <w:t>’</w:t>
            </w:r>
            <w:r w:rsidRPr="00280F1A">
              <w:t>s</w:t>
            </w:r>
            <w:r w:rsidRPr="00792FC3">
              <w:t xml:space="preserve"> </w:t>
            </w:r>
            <w:r>
              <w:t>C</w:t>
            </w:r>
            <w:r w:rsidRPr="00792FC3">
              <w:t xml:space="preserve">onstruction </w:t>
            </w:r>
            <w:r w:rsidRPr="00280F1A">
              <w:t>Business</w:t>
            </w:r>
          </w:p>
          <w:p w14:paraId="6A298035" w14:textId="77777777" w:rsidR="00835766" w:rsidRDefault="00835766" w:rsidP="00835766">
            <w:r>
              <w:t xml:space="preserve">Sarah owns and runs a building business in South Australia and employs 8 construction workers on average full-time weekly earnings, who each earn $89,730 per year. Sarah reports withholding of $15,008 for her employees on each of her monthly Business Activity Statements (BAS). </w:t>
            </w:r>
          </w:p>
          <w:p w14:paraId="55285415" w14:textId="77777777" w:rsidR="00835766" w:rsidRDefault="00835766" w:rsidP="00835766">
            <w:r>
              <w:t xml:space="preserve">Under the Government’s changes, Sarah will be eligible to receive the </w:t>
            </w:r>
            <w:r>
              <w:rPr>
                <w:rFonts w:cstheme="minorHAnsi"/>
              </w:rPr>
              <w:t>payment</w:t>
            </w:r>
            <w:r>
              <w:t xml:space="preserve"> on </w:t>
            </w:r>
            <w:proofErr w:type="spellStart"/>
            <w:r>
              <w:t>lodgment</w:t>
            </w:r>
            <w:proofErr w:type="spellEnd"/>
            <w:r>
              <w:t xml:space="preserve"> of her BAS. Sarah’s business receives:</w:t>
            </w:r>
          </w:p>
          <w:p w14:paraId="072E99E0" w14:textId="77777777" w:rsidR="00835766" w:rsidRPr="00835766" w:rsidRDefault="00835766" w:rsidP="00835766">
            <w:pPr>
              <w:pStyle w:val="Bullet"/>
              <w:numPr>
                <w:ilvl w:val="0"/>
                <w:numId w:val="11"/>
              </w:numPr>
              <w:rPr>
                <w:color w:val="auto"/>
              </w:rPr>
            </w:pPr>
            <w:r w:rsidRPr="00835766">
              <w:rPr>
                <w:color w:val="auto"/>
              </w:rPr>
              <w:t>A credit of $45,024 for the March period, equal to 300 per cent of her total withholding.</w:t>
            </w:r>
          </w:p>
          <w:p w14:paraId="21D1DD99" w14:textId="77777777" w:rsidR="00835766" w:rsidRPr="00835766" w:rsidRDefault="00835766" w:rsidP="00835766">
            <w:pPr>
              <w:pStyle w:val="Bullet"/>
              <w:numPr>
                <w:ilvl w:val="0"/>
                <w:numId w:val="11"/>
              </w:numPr>
              <w:rPr>
                <w:color w:val="auto"/>
              </w:rPr>
            </w:pPr>
            <w:r w:rsidRPr="00835766">
              <w:rPr>
                <w:color w:val="auto"/>
              </w:rPr>
              <w:t>A credit of $4,976 for the April period, before she reaches the $50,000 cap.</w:t>
            </w:r>
          </w:p>
          <w:p w14:paraId="0B2F0B68" w14:textId="77777777" w:rsidR="00835766" w:rsidRPr="00835766" w:rsidRDefault="00835766" w:rsidP="00835766">
            <w:pPr>
              <w:pStyle w:val="Bullet"/>
              <w:numPr>
                <w:ilvl w:val="0"/>
                <w:numId w:val="11"/>
              </w:numPr>
              <w:rPr>
                <w:color w:val="auto"/>
              </w:rPr>
            </w:pPr>
            <w:r w:rsidRPr="00835766">
              <w:rPr>
                <w:color w:val="auto"/>
              </w:rPr>
              <w:t>No payment for the May period, as she has now reached the $50,000 cap.</w:t>
            </w:r>
          </w:p>
          <w:p w14:paraId="26D53993" w14:textId="217D6154" w:rsidR="00835766" w:rsidRPr="00835766" w:rsidRDefault="00835766" w:rsidP="00835766">
            <w:pPr>
              <w:pStyle w:val="Bullet"/>
              <w:numPr>
                <w:ilvl w:val="0"/>
                <w:numId w:val="11"/>
              </w:numPr>
              <w:rPr>
                <w:color w:val="auto"/>
              </w:rPr>
            </w:pPr>
            <w:r w:rsidRPr="00835766">
              <w:rPr>
                <w:color w:val="auto"/>
              </w:rPr>
              <w:t>A</w:t>
            </w:r>
            <w:r w:rsidR="001E1194">
              <w:rPr>
                <w:color w:val="auto"/>
              </w:rPr>
              <w:t>n</w:t>
            </w:r>
            <w:r w:rsidRPr="00835766">
              <w:rPr>
                <w:color w:val="auto"/>
              </w:rPr>
              <w:t xml:space="preserve"> additional payment of $12,500 for the June period, equal to 25 per cent of her total </w:t>
            </w:r>
            <w:r w:rsidRPr="00835766">
              <w:rPr>
                <w:i/>
                <w:color w:val="auto"/>
              </w:rPr>
              <w:t>Boosting Cash Flow for Employers</w:t>
            </w:r>
            <w:r w:rsidRPr="00835766">
              <w:rPr>
                <w:color w:val="auto"/>
              </w:rPr>
              <w:t xml:space="preserve"> payments.</w:t>
            </w:r>
          </w:p>
          <w:p w14:paraId="5D0E76FF" w14:textId="1A72700E" w:rsidR="00835766" w:rsidRPr="00835766" w:rsidRDefault="00835766" w:rsidP="00835766">
            <w:pPr>
              <w:pStyle w:val="Bullet"/>
              <w:numPr>
                <w:ilvl w:val="0"/>
                <w:numId w:val="11"/>
              </w:numPr>
              <w:rPr>
                <w:color w:val="auto"/>
              </w:rPr>
            </w:pPr>
            <w:r w:rsidRPr="00835766">
              <w:rPr>
                <w:color w:val="auto"/>
              </w:rPr>
              <w:t>A</w:t>
            </w:r>
            <w:r w:rsidR="001E1194">
              <w:rPr>
                <w:color w:val="auto"/>
              </w:rPr>
              <w:t>n</w:t>
            </w:r>
            <w:r w:rsidRPr="00835766">
              <w:rPr>
                <w:color w:val="auto"/>
              </w:rPr>
              <w:t xml:space="preserve"> additional payment of $12,500 for the July period, equal to 25 per cent of her total </w:t>
            </w:r>
            <w:r w:rsidRPr="00835766">
              <w:rPr>
                <w:i/>
                <w:color w:val="auto"/>
              </w:rPr>
              <w:t>Boosting Cash Flow for Employers</w:t>
            </w:r>
            <w:r w:rsidRPr="00835766">
              <w:rPr>
                <w:color w:val="auto"/>
              </w:rPr>
              <w:t xml:space="preserve"> payments.</w:t>
            </w:r>
          </w:p>
          <w:p w14:paraId="0EF7F021" w14:textId="7A72E42A" w:rsidR="00835766" w:rsidRPr="00835766" w:rsidRDefault="00835766" w:rsidP="00835766">
            <w:pPr>
              <w:pStyle w:val="Bullet"/>
              <w:numPr>
                <w:ilvl w:val="0"/>
                <w:numId w:val="11"/>
              </w:numPr>
              <w:rPr>
                <w:color w:val="auto"/>
              </w:rPr>
            </w:pPr>
            <w:r w:rsidRPr="00835766">
              <w:rPr>
                <w:color w:val="auto"/>
              </w:rPr>
              <w:t>A</w:t>
            </w:r>
            <w:r w:rsidR="001E1194">
              <w:rPr>
                <w:color w:val="auto"/>
              </w:rPr>
              <w:t>n</w:t>
            </w:r>
            <w:r w:rsidRPr="00835766">
              <w:rPr>
                <w:color w:val="auto"/>
              </w:rPr>
              <w:t xml:space="preserve"> additional payment of $12,500 for the August period, equal to 25 per cent of her total </w:t>
            </w:r>
            <w:r w:rsidRPr="00835766">
              <w:rPr>
                <w:i/>
                <w:color w:val="auto"/>
              </w:rPr>
              <w:t>Boosting Cash Flow for Employers</w:t>
            </w:r>
            <w:r w:rsidRPr="00835766">
              <w:rPr>
                <w:color w:val="auto"/>
              </w:rPr>
              <w:t xml:space="preserve"> payments.</w:t>
            </w:r>
          </w:p>
          <w:p w14:paraId="58C3CD25" w14:textId="49E60A5C" w:rsidR="00835766" w:rsidRPr="00835766" w:rsidRDefault="00835766" w:rsidP="00835766">
            <w:pPr>
              <w:pStyle w:val="Bullet"/>
              <w:numPr>
                <w:ilvl w:val="0"/>
                <w:numId w:val="11"/>
              </w:numPr>
              <w:rPr>
                <w:color w:val="auto"/>
              </w:rPr>
            </w:pPr>
            <w:r w:rsidRPr="00835766">
              <w:rPr>
                <w:color w:val="auto"/>
              </w:rPr>
              <w:t>A</w:t>
            </w:r>
            <w:r w:rsidR="001E1194">
              <w:rPr>
                <w:color w:val="auto"/>
              </w:rPr>
              <w:t>n</w:t>
            </w:r>
            <w:r w:rsidRPr="00835766">
              <w:rPr>
                <w:color w:val="auto"/>
              </w:rPr>
              <w:t xml:space="preserve"> additional payment of $12,500 for the September period, equal to 25 per cent of her total </w:t>
            </w:r>
            <w:r w:rsidRPr="00835766">
              <w:rPr>
                <w:i/>
                <w:color w:val="auto"/>
              </w:rPr>
              <w:t>Boosting Cash Flow for Employers</w:t>
            </w:r>
            <w:r w:rsidRPr="00835766">
              <w:rPr>
                <w:color w:val="auto"/>
              </w:rPr>
              <w:t xml:space="preserve"> payments.</w:t>
            </w:r>
          </w:p>
          <w:p w14:paraId="6AA1F641" w14:textId="77777777" w:rsidR="00835766" w:rsidRDefault="00835766" w:rsidP="00835766">
            <w:r>
              <w:t xml:space="preserve">Under the previously announced </w:t>
            </w:r>
            <w:r w:rsidRPr="00E71EE0">
              <w:rPr>
                <w:i/>
              </w:rPr>
              <w:t>Boost</w:t>
            </w:r>
            <w:r>
              <w:rPr>
                <w:i/>
              </w:rPr>
              <w:t>ing</w:t>
            </w:r>
            <w:r w:rsidRPr="00E71EE0">
              <w:rPr>
                <w:i/>
              </w:rPr>
              <w:t xml:space="preserve"> Cash Flow for Employers</w:t>
            </w:r>
            <w:r w:rsidRPr="00E71EE0">
              <w:t xml:space="preserve"> measure</w:t>
            </w:r>
            <w:r>
              <w:t>, Sarah’s business would have received a maximum payment of $25,000.</w:t>
            </w:r>
          </w:p>
          <w:p w14:paraId="62711871" w14:textId="77777777" w:rsidR="00835766" w:rsidRPr="00C0378C" w:rsidRDefault="00835766" w:rsidP="00835766">
            <w:r>
              <w:t xml:space="preserve">Under the Government’s enhanced </w:t>
            </w:r>
            <w:r w:rsidRPr="003259AD">
              <w:rPr>
                <w:i/>
              </w:rPr>
              <w:t>Boost</w:t>
            </w:r>
            <w:r>
              <w:rPr>
                <w:i/>
              </w:rPr>
              <w:t>ing</w:t>
            </w:r>
            <w:r w:rsidRPr="003259AD">
              <w:rPr>
                <w:i/>
              </w:rPr>
              <w:t xml:space="preserve"> Cash Flow for Employers</w:t>
            </w:r>
            <w:r w:rsidRPr="003259AD">
              <w:t xml:space="preserve"> measure</w:t>
            </w:r>
            <w:r>
              <w:t xml:space="preserve">, Sarah’s business will receive $100,000. This is an additional $75,000 to support her business and help her retain her staff. </w:t>
            </w:r>
          </w:p>
          <w:p w14:paraId="2470D6EC" w14:textId="7642F76B" w:rsidR="00596A99" w:rsidRDefault="00596A99" w:rsidP="00C0378C">
            <w:pPr>
              <w:pStyle w:val="Boxheading"/>
              <w:spacing w:before="120"/>
            </w:pPr>
            <w:r w:rsidRPr="00596A99">
              <w:t>Sean’s Hairdresser Salon</w:t>
            </w:r>
          </w:p>
          <w:p w14:paraId="5CAF8BAB" w14:textId="00DFAA33" w:rsidR="00596A99" w:rsidRPr="007D1CD0" w:rsidRDefault="00596A99" w:rsidP="00596A99">
            <w:r w:rsidRPr="0000667B">
              <w:t xml:space="preserve">Sean owns a hairdresser’s salon on the Gold Coast. He employs 12 hairdressers, </w:t>
            </w:r>
            <w:r>
              <w:t>with</w:t>
            </w:r>
            <w:r w:rsidRPr="0000667B">
              <w:t xml:space="preserve"> average salary of $50,000 per year. Sean reports withholding of $8,788 for his employees in each of his </w:t>
            </w:r>
            <w:r w:rsidRPr="00464B79">
              <w:t xml:space="preserve">monthly BAS. </w:t>
            </w:r>
          </w:p>
          <w:p w14:paraId="558E004D" w14:textId="77777777" w:rsidR="00596A99" w:rsidRPr="007D1CD0" w:rsidRDefault="00596A99" w:rsidP="00596A99">
            <w:r w:rsidRPr="007D1CD0">
              <w:lastRenderedPageBreak/>
              <w:t xml:space="preserve">Under the Government’s changes, Sean will be eligible to receive the </w:t>
            </w:r>
            <w:r w:rsidRPr="007D1CD0">
              <w:rPr>
                <w:rFonts w:cstheme="minorHAnsi"/>
              </w:rPr>
              <w:t>payments</w:t>
            </w:r>
            <w:r w:rsidRPr="007D1CD0">
              <w:t xml:space="preserve"> on </w:t>
            </w:r>
            <w:proofErr w:type="spellStart"/>
            <w:r w:rsidRPr="007D1CD0">
              <w:t>lodgment</w:t>
            </w:r>
            <w:proofErr w:type="spellEnd"/>
            <w:r w:rsidRPr="007D1CD0">
              <w:t xml:space="preserve"> of his relevant BAS.</w:t>
            </w:r>
          </w:p>
          <w:p w14:paraId="43AE7A5D" w14:textId="77777777" w:rsidR="00596A99" w:rsidRPr="007D1CD0" w:rsidRDefault="00596A99" w:rsidP="00596A99">
            <w:r w:rsidRPr="007D1CD0">
              <w:t>Sean’s business will receive:</w:t>
            </w:r>
          </w:p>
          <w:p w14:paraId="17992D4F" w14:textId="77777777" w:rsidR="00596A99" w:rsidRPr="0000667B" w:rsidRDefault="00596A99" w:rsidP="00596A99">
            <w:pPr>
              <w:pStyle w:val="Bullet"/>
              <w:numPr>
                <w:ilvl w:val="0"/>
                <w:numId w:val="11"/>
              </w:numPr>
              <w:rPr>
                <w:color w:val="auto"/>
              </w:rPr>
            </w:pPr>
            <w:r w:rsidRPr="007D1CD0">
              <w:rPr>
                <w:color w:val="auto"/>
              </w:rPr>
              <w:t>A credit of $26,364</w:t>
            </w:r>
            <w:r w:rsidRPr="0000667B">
              <w:rPr>
                <w:color w:val="auto"/>
              </w:rPr>
              <w:t xml:space="preserve"> for the March period, equal to 300 per cent of </w:t>
            </w:r>
            <w:r w:rsidRPr="007D1CD0">
              <w:rPr>
                <w:color w:val="auto"/>
              </w:rPr>
              <w:t>his</w:t>
            </w:r>
            <w:r w:rsidRPr="0000667B">
              <w:rPr>
                <w:color w:val="auto"/>
              </w:rPr>
              <w:t xml:space="preserve"> total withholding.</w:t>
            </w:r>
          </w:p>
          <w:p w14:paraId="6A6BFC46" w14:textId="162C2C69" w:rsidR="00596A99" w:rsidRPr="0000667B" w:rsidRDefault="00596A99" w:rsidP="00596A99">
            <w:pPr>
              <w:pStyle w:val="Bullet"/>
              <w:numPr>
                <w:ilvl w:val="0"/>
                <w:numId w:val="11"/>
              </w:numPr>
              <w:rPr>
                <w:color w:val="auto"/>
              </w:rPr>
            </w:pPr>
            <w:r w:rsidRPr="0000667B">
              <w:rPr>
                <w:color w:val="auto"/>
              </w:rPr>
              <w:t>A credit of $</w:t>
            </w:r>
            <w:r w:rsidRPr="007D1CD0">
              <w:rPr>
                <w:color w:val="auto"/>
              </w:rPr>
              <w:t xml:space="preserve">8,788 </w:t>
            </w:r>
            <w:r w:rsidRPr="0000667B">
              <w:rPr>
                <w:color w:val="auto"/>
              </w:rPr>
              <w:t>for the April period.</w:t>
            </w:r>
          </w:p>
          <w:p w14:paraId="4BB9FBB2" w14:textId="3A2C3A8A" w:rsidR="00596A99" w:rsidRPr="0000667B" w:rsidRDefault="00596A99" w:rsidP="00596A99">
            <w:pPr>
              <w:pStyle w:val="Bullet"/>
              <w:numPr>
                <w:ilvl w:val="0"/>
                <w:numId w:val="11"/>
              </w:numPr>
              <w:rPr>
                <w:color w:val="auto"/>
              </w:rPr>
            </w:pPr>
            <w:r w:rsidRPr="0000667B">
              <w:rPr>
                <w:color w:val="auto"/>
              </w:rPr>
              <w:t>A credit of $</w:t>
            </w:r>
            <w:r w:rsidRPr="007D1CD0">
              <w:rPr>
                <w:color w:val="auto"/>
              </w:rPr>
              <w:t xml:space="preserve">8,788 </w:t>
            </w:r>
            <w:r w:rsidRPr="0000667B">
              <w:rPr>
                <w:color w:val="auto"/>
              </w:rPr>
              <w:t xml:space="preserve">for the </w:t>
            </w:r>
            <w:r w:rsidRPr="007D1CD0">
              <w:rPr>
                <w:color w:val="auto"/>
              </w:rPr>
              <w:t>May</w:t>
            </w:r>
            <w:r w:rsidRPr="0000667B">
              <w:rPr>
                <w:color w:val="auto"/>
              </w:rPr>
              <w:t xml:space="preserve"> period.</w:t>
            </w:r>
          </w:p>
          <w:p w14:paraId="38F9B594" w14:textId="77777777" w:rsidR="00596A99" w:rsidRPr="0000667B" w:rsidRDefault="00596A99" w:rsidP="00596A99">
            <w:pPr>
              <w:pStyle w:val="Bullet"/>
              <w:numPr>
                <w:ilvl w:val="0"/>
                <w:numId w:val="11"/>
              </w:numPr>
              <w:rPr>
                <w:color w:val="auto"/>
              </w:rPr>
            </w:pPr>
            <w:r w:rsidRPr="0000667B">
              <w:rPr>
                <w:color w:val="auto"/>
              </w:rPr>
              <w:t>A credit of $</w:t>
            </w:r>
            <w:r w:rsidRPr="007D1CD0">
              <w:rPr>
                <w:color w:val="auto"/>
              </w:rPr>
              <w:t xml:space="preserve">6,060 </w:t>
            </w:r>
            <w:r w:rsidRPr="0000667B">
              <w:rPr>
                <w:color w:val="auto"/>
              </w:rPr>
              <w:t xml:space="preserve">for the </w:t>
            </w:r>
            <w:r w:rsidRPr="007D1CD0">
              <w:rPr>
                <w:color w:val="auto"/>
              </w:rPr>
              <w:t>June</w:t>
            </w:r>
            <w:r w:rsidRPr="0000667B">
              <w:rPr>
                <w:color w:val="auto"/>
              </w:rPr>
              <w:t xml:space="preserve"> period, before </w:t>
            </w:r>
            <w:r w:rsidRPr="007D1CD0">
              <w:rPr>
                <w:color w:val="auto"/>
              </w:rPr>
              <w:t>he</w:t>
            </w:r>
            <w:r w:rsidRPr="0000667B">
              <w:rPr>
                <w:color w:val="auto"/>
              </w:rPr>
              <w:t xml:space="preserve"> reaches the $50,000 cap.</w:t>
            </w:r>
            <w:r w:rsidRPr="007D1CD0">
              <w:rPr>
                <w:color w:val="auto"/>
              </w:rPr>
              <w:t xml:space="preserve"> Sean will also receive an</w:t>
            </w:r>
            <w:r w:rsidRPr="0000667B">
              <w:rPr>
                <w:color w:val="auto"/>
              </w:rPr>
              <w:t xml:space="preserve"> additional payment of $</w:t>
            </w:r>
            <w:r w:rsidRPr="007D1CD0">
              <w:rPr>
                <w:color w:val="auto"/>
              </w:rPr>
              <w:t>12,500</w:t>
            </w:r>
            <w:r w:rsidRPr="0000667B">
              <w:rPr>
                <w:color w:val="auto"/>
              </w:rPr>
              <w:t xml:space="preserve"> for the June period, equal to 25 per cent of </w:t>
            </w:r>
            <w:r w:rsidRPr="007D1CD0">
              <w:rPr>
                <w:color w:val="auto"/>
              </w:rPr>
              <w:t>his</w:t>
            </w:r>
            <w:r w:rsidRPr="0000667B">
              <w:rPr>
                <w:color w:val="auto"/>
              </w:rPr>
              <w:t xml:space="preserve"> total </w:t>
            </w:r>
            <w:r w:rsidRPr="0000667B">
              <w:rPr>
                <w:i/>
                <w:color w:val="auto"/>
              </w:rPr>
              <w:t>Boosting Cash Flow for Employers</w:t>
            </w:r>
            <w:r w:rsidRPr="0000667B">
              <w:rPr>
                <w:color w:val="auto"/>
              </w:rPr>
              <w:t xml:space="preserve"> payments.</w:t>
            </w:r>
          </w:p>
          <w:p w14:paraId="5EB7C767" w14:textId="77777777" w:rsidR="00596A99" w:rsidRPr="0000667B" w:rsidRDefault="00596A99" w:rsidP="00596A99">
            <w:pPr>
              <w:pStyle w:val="Bullet"/>
              <w:numPr>
                <w:ilvl w:val="0"/>
                <w:numId w:val="11"/>
              </w:numPr>
              <w:rPr>
                <w:color w:val="auto"/>
              </w:rPr>
            </w:pPr>
            <w:r w:rsidRPr="0000667B">
              <w:rPr>
                <w:color w:val="auto"/>
              </w:rPr>
              <w:t>A</w:t>
            </w:r>
            <w:r w:rsidRPr="007D1CD0">
              <w:rPr>
                <w:color w:val="auto"/>
              </w:rPr>
              <w:t>n</w:t>
            </w:r>
            <w:r w:rsidRPr="0000667B">
              <w:rPr>
                <w:color w:val="auto"/>
              </w:rPr>
              <w:t xml:space="preserve"> additional payment of $</w:t>
            </w:r>
            <w:r w:rsidRPr="007D1CD0">
              <w:rPr>
                <w:color w:val="auto"/>
              </w:rPr>
              <w:t>12,500</w:t>
            </w:r>
            <w:r w:rsidRPr="0000667B">
              <w:rPr>
                <w:color w:val="auto"/>
              </w:rPr>
              <w:t xml:space="preserve"> for the July period, equal to 25 per cent of </w:t>
            </w:r>
            <w:r w:rsidRPr="007D1CD0">
              <w:rPr>
                <w:color w:val="auto"/>
              </w:rPr>
              <w:t>his</w:t>
            </w:r>
            <w:r w:rsidRPr="0000667B">
              <w:rPr>
                <w:color w:val="auto"/>
              </w:rPr>
              <w:t xml:space="preserve"> total </w:t>
            </w:r>
            <w:r w:rsidRPr="0000667B">
              <w:rPr>
                <w:i/>
                <w:color w:val="auto"/>
              </w:rPr>
              <w:t>Boosting Cash Flow for Employers</w:t>
            </w:r>
            <w:r w:rsidRPr="0000667B">
              <w:rPr>
                <w:color w:val="auto"/>
              </w:rPr>
              <w:t xml:space="preserve"> payments.</w:t>
            </w:r>
          </w:p>
          <w:p w14:paraId="4B69B60D" w14:textId="77777777" w:rsidR="00596A99" w:rsidRPr="0000667B" w:rsidRDefault="00596A99" w:rsidP="00596A99">
            <w:pPr>
              <w:pStyle w:val="Bullet"/>
              <w:numPr>
                <w:ilvl w:val="0"/>
                <w:numId w:val="11"/>
              </w:numPr>
              <w:rPr>
                <w:color w:val="auto"/>
              </w:rPr>
            </w:pPr>
            <w:r w:rsidRPr="0000667B">
              <w:rPr>
                <w:color w:val="auto"/>
              </w:rPr>
              <w:t>A</w:t>
            </w:r>
            <w:r w:rsidRPr="007D1CD0">
              <w:rPr>
                <w:color w:val="auto"/>
              </w:rPr>
              <w:t>n</w:t>
            </w:r>
            <w:r w:rsidRPr="0000667B">
              <w:rPr>
                <w:color w:val="auto"/>
              </w:rPr>
              <w:t xml:space="preserve"> additional payment of $</w:t>
            </w:r>
            <w:r w:rsidRPr="007D1CD0">
              <w:rPr>
                <w:color w:val="auto"/>
              </w:rPr>
              <w:t>12,500</w:t>
            </w:r>
            <w:r w:rsidRPr="0000667B">
              <w:rPr>
                <w:color w:val="auto"/>
              </w:rPr>
              <w:t xml:space="preserve"> for the August period, equal to 25 per cent of </w:t>
            </w:r>
            <w:r w:rsidRPr="007D1CD0">
              <w:rPr>
                <w:color w:val="auto"/>
              </w:rPr>
              <w:t>his</w:t>
            </w:r>
            <w:r w:rsidRPr="0000667B">
              <w:rPr>
                <w:color w:val="auto"/>
              </w:rPr>
              <w:t xml:space="preserve"> total </w:t>
            </w:r>
            <w:r w:rsidRPr="0000667B">
              <w:rPr>
                <w:i/>
                <w:color w:val="auto"/>
              </w:rPr>
              <w:t>Boosting Cash Flow for Employers</w:t>
            </w:r>
            <w:r w:rsidRPr="0000667B">
              <w:rPr>
                <w:color w:val="auto"/>
              </w:rPr>
              <w:t xml:space="preserve"> payments.</w:t>
            </w:r>
          </w:p>
          <w:p w14:paraId="3179DF53" w14:textId="77777777" w:rsidR="00596A99" w:rsidRPr="0000667B" w:rsidRDefault="00596A99" w:rsidP="00596A99">
            <w:pPr>
              <w:pStyle w:val="Bullet"/>
              <w:numPr>
                <w:ilvl w:val="0"/>
                <w:numId w:val="11"/>
              </w:numPr>
              <w:rPr>
                <w:color w:val="auto"/>
              </w:rPr>
            </w:pPr>
            <w:r w:rsidRPr="0000667B">
              <w:rPr>
                <w:color w:val="auto"/>
              </w:rPr>
              <w:t>A</w:t>
            </w:r>
            <w:r w:rsidRPr="007D1CD0">
              <w:rPr>
                <w:color w:val="auto"/>
              </w:rPr>
              <w:t>n</w:t>
            </w:r>
            <w:r w:rsidRPr="0000667B">
              <w:rPr>
                <w:color w:val="auto"/>
              </w:rPr>
              <w:t xml:space="preserve"> additional payment of $</w:t>
            </w:r>
            <w:r w:rsidRPr="007D1CD0">
              <w:rPr>
                <w:color w:val="auto"/>
              </w:rPr>
              <w:t>12,500</w:t>
            </w:r>
            <w:r w:rsidRPr="0000667B">
              <w:rPr>
                <w:color w:val="auto"/>
              </w:rPr>
              <w:t xml:space="preserve">  for the September period, equal to 25 per cent of </w:t>
            </w:r>
            <w:r w:rsidRPr="007D1CD0">
              <w:rPr>
                <w:color w:val="auto"/>
              </w:rPr>
              <w:t>his</w:t>
            </w:r>
            <w:r w:rsidRPr="0000667B">
              <w:rPr>
                <w:color w:val="auto"/>
              </w:rPr>
              <w:t xml:space="preserve"> total </w:t>
            </w:r>
            <w:r w:rsidRPr="0000667B">
              <w:rPr>
                <w:i/>
                <w:color w:val="auto"/>
              </w:rPr>
              <w:t>Boosting Cash Flow for Employers</w:t>
            </w:r>
            <w:r w:rsidRPr="0000667B">
              <w:rPr>
                <w:color w:val="auto"/>
              </w:rPr>
              <w:t xml:space="preserve"> payments.</w:t>
            </w:r>
          </w:p>
          <w:p w14:paraId="2B793B63" w14:textId="77777777" w:rsidR="00596A99" w:rsidRPr="007D1CD0" w:rsidRDefault="00596A99" w:rsidP="004F3737">
            <w:r w:rsidRPr="0000667B">
              <w:t xml:space="preserve">Under the previously announced </w:t>
            </w:r>
            <w:r w:rsidRPr="0000667B">
              <w:rPr>
                <w:i/>
              </w:rPr>
              <w:t>Boosting Cash Flow for Employers</w:t>
            </w:r>
            <w:r w:rsidRPr="0000667B">
              <w:t xml:space="preserve"> measure, Sean’s business would have received a total payment of $</w:t>
            </w:r>
            <w:r w:rsidRPr="00464B79">
              <w:t>25</w:t>
            </w:r>
            <w:r w:rsidRPr="007D1CD0">
              <w:t xml:space="preserve">,000. </w:t>
            </w:r>
          </w:p>
          <w:p w14:paraId="021AC6DA" w14:textId="00DA6FDB" w:rsidR="00596A99" w:rsidRPr="00596A99" w:rsidRDefault="00596A99" w:rsidP="004F3737">
            <w:pPr>
              <w:rPr>
                <w:b/>
              </w:rPr>
            </w:pPr>
            <w:r w:rsidRPr="007D1CD0">
              <w:t xml:space="preserve">Under the Government’s enhanced </w:t>
            </w:r>
            <w:r w:rsidRPr="007D1CD0">
              <w:rPr>
                <w:i/>
              </w:rPr>
              <w:t>Boosting Cash Flow for Employers</w:t>
            </w:r>
            <w:r w:rsidRPr="007D1CD0">
              <w:t xml:space="preserve"> measure, Sean’s business will receive $100,000. This is an additional $75,000 to support his business.</w:t>
            </w:r>
          </w:p>
          <w:p w14:paraId="72D7C938" w14:textId="36C0FB2E" w:rsidR="00D90662" w:rsidRDefault="00D90662" w:rsidP="00C0378C">
            <w:pPr>
              <w:pStyle w:val="Boxheading"/>
              <w:spacing w:before="120"/>
            </w:pPr>
            <w:r w:rsidRPr="00EA7164">
              <w:t>Tim</w:t>
            </w:r>
            <w:r>
              <w:t>’</w:t>
            </w:r>
            <w:r w:rsidRPr="00EA7164">
              <w:t>s Courier Run</w:t>
            </w:r>
          </w:p>
          <w:p w14:paraId="12CD8504" w14:textId="77777777" w:rsidR="00863120" w:rsidRDefault="00863120" w:rsidP="00863120">
            <w:r>
              <w:t xml:space="preserve">Tim owns and runs a small paper delivery business in Melbourne, and employs two casual employees who each earn $10,000 per year. In his quarterly BAS, Tim reports withholding of $0 for his employees as they are under the tax-free threshold. </w:t>
            </w:r>
          </w:p>
          <w:p w14:paraId="7174B8E6" w14:textId="77777777" w:rsidR="00863120" w:rsidRDefault="00863120" w:rsidP="00863120">
            <w:r>
              <w:t xml:space="preserve">Under the Government’s changes, Tim will be eligible to receive the </w:t>
            </w:r>
            <w:r>
              <w:rPr>
                <w:rFonts w:cstheme="minorHAnsi"/>
              </w:rPr>
              <w:t>payment</w:t>
            </w:r>
            <w:r>
              <w:t xml:space="preserve"> on </w:t>
            </w:r>
            <w:proofErr w:type="spellStart"/>
            <w:r>
              <w:t>lodgment</w:t>
            </w:r>
            <w:proofErr w:type="spellEnd"/>
            <w:r>
              <w:t xml:space="preserve"> of his BAS.</w:t>
            </w:r>
          </w:p>
          <w:p w14:paraId="25E65694" w14:textId="77777777" w:rsidR="00C0378C" w:rsidRDefault="00C0378C" w:rsidP="00C0378C">
            <w:r>
              <w:t>Tim’s business will receive:</w:t>
            </w:r>
          </w:p>
          <w:p w14:paraId="10942B88" w14:textId="77777777" w:rsidR="00863120" w:rsidRPr="00863120" w:rsidRDefault="00863120" w:rsidP="00863120">
            <w:pPr>
              <w:pStyle w:val="Bullet"/>
              <w:numPr>
                <w:ilvl w:val="0"/>
                <w:numId w:val="11"/>
              </w:numPr>
              <w:rPr>
                <w:color w:val="auto"/>
              </w:rPr>
            </w:pPr>
            <w:r w:rsidRPr="00863120">
              <w:rPr>
                <w:color w:val="auto"/>
              </w:rPr>
              <w:t xml:space="preserve">A credit of $10,000 for the March quarter, as he pays salary and wages but is not required to withhold tax. </w:t>
            </w:r>
          </w:p>
          <w:p w14:paraId="1F56C9FD" w14:textId="77777777" w:rsidR="00863120" w:rsidRPr="00863120" w:rsidRDefault="00863120" w:rsidP="00863120">
            <w:pPr>
              <w:pStyle w:val="Bullet"/>
              <w:numPr>
                <w:ilvl w:val="0"/>
                <w:numId w:val="11"/>
              </w:numPr>
              <w:rPr>
                <w:color w:val="auto"/>
              </w:rPr>
            </w:pPr>
            <w:r w:rsidRPr="00863120">
              <w:rPr>
                <w:color w:val="auto"/>
              </w:rPr>
              <w:t>An additional payment of $5,000 for the June quarter, equal to 50 per cent of his total</w:t>
            </w:r>
            <w:r w:rsidRPr="00863120">
              <w:rPr>
                <w:i/>
                <w:color w:val="auto"/>
              </w:rPr>
              <w:t xml:space="preserve"> Boosting Cash Flow for Employers</w:t>
            </w:r>
            <w:r w:rsidRPr="00863120">
              <w:rPr>
                <w:color w:val="auto"/>
              </w:rPr>
              <w:t xml:space="preserve"> payments.</w:t>
            </w:r>
          </w:p>
          <w:p w14:paraId="5F8FB09F" w14:textId="77777777" w:rsidR="00863120" w:rsidRPr="00863120" w:rsidRDefault="00863120" w:rsidP="00863120">
            <w:pPr>
              <w:pStyle w:val="Bullet"/>
              <w:numPr>
                <w:ilvl w:val="0"/>
                <w:numId w:val="11"/>
              </w:numPr>
              <w:rPr>
                <w:color w:val="auto"/>
              </w:rPr>
            </w:pPr>
            <w:r w:rsidRPr="00863120">
              <w:rPr>
                <w:color w:val="auto"/>
              </w:rPr>
              <w:t xml:space="preserve">An additional payment of $5,000 for the September quarter, equal to 50 per cent of his total </w:t>
            </w:r>
            <w:r w:rsidRPr="00863120">
              <w:rPr>
                <w:i/>
                <w:color w:val="auto"/>
              </w:rPr>
              <w:t>Boosting Cash Flow for Employers</w:t>
            </w:r>
            <w:r w:rsidRPr="00863120">
              <w:rPr>
                <w:color w:val="auto"/>
              </w:rPr>
              <w:t xml:space="preserve"> payments.</w:t>
            </w:r>
          </w:p>
          <w:p w14:paraId="2677A911" w14:textId="721ADE7D" w:rsidR="00863120" w:rsidRPr="00863120" w:rsidRDefault="00C0378C" w:rsidP="004F3737">
            <w:r w:rsidRPr="00C0378C">
              <w:t xml:space="preserve">If Tim begins </w:t>
            </w:r>
            <w:proofErr w:type="spellStart"/>
            <w:r w:rsidRPr="00C0378C">
              <w:t>with</w:t>
            </w:r>
            <w:r w:rsidR="004F3737">
              <w:t xml:space="preserve"> </w:t>
            </w:r>
            <w:r w:rsidRPr="00C0378C">
              <w:t>holding</w:t>
            </w:r>
            <w:proofErr w:type="spellEnd"/>
            <w:r w:rsidRPr="00C0378C">
              <w:t xml:space="preserve"> tax for the June quarter, he would need to withhold more than $</w:t>
            </w:r>
            <w:r w:rsidR="00863120" w:rsidRPr="00863120">
              <w:t>10</w:t>
            </w:r>
            <w:r w:rsidRPr="00C0378C">
              <w:t xml:space="preserve">,000 before he receives any additional </w:t>
            </w:r>
            <w:r w:rsidR="00863120" w:rsidRPr="00863120">
              <w:t>payment.</w:t>
            </w:r>
          </w:p>
          <w:p w14:paraId="579DBAD4" w14:textId="77777777" w:rsidR="00863120" w:rsidRDefault="00863120" w:rsidP="004F3737">
            <w:r w:rsidRPr="00ED4574">
              <w:t xml:space="preserve">Under the previously announced </w:t>
            </w:r>
            <w:r w:rsidRPr="00160CFF">
              <w:rPr>
                <w:i/>
              </w:rPr>
              <w:t>Boost</w:t>
            </w:r>
            <w:r>
              <w:rPr>
                <w:i/>
              </w:rPr>
              <w:t>ing</w:t>
            </w:r>
            <w:r w:rsidRPr="00160CFF">
              <w:rPr>
                <w:i/>
              </w:rPr>
              <w:t xml:space="preserve"> Cash Flow for Employers</w:t>
            </w:r>
            <w:r w:rsidRPr="00ED4574">
              <w:t xml:space="preserve"> measure,</w:t>
            </w:r>
            <w:r>
              <w:t xml:space="preserve"> Tim’s business would have received a total payment of $2,000. </w:t>
            </w:r>
          </w:p>
          <w:p w14:paraId="5915460F" w14:textId="77777777" w:rsidR="00863120" w:rsidRDefault="00863120" w:rsidP="004F3737">
            <w:r w:rsidRPr="00ED4574">
              <w:t xml:space="preserve">Under the Government’s enhanced </w:t>
            </w:r>
            <w:r w:rsidRPr="00160CFF">
              <w:rPr>
                <w:i/>
              </w:rPr>
              <w:t>Boost</w:t>
            </w:r>
            <w:r>
              <w:rPr>
                <w:i/>
              </w:rPr>
              <w:t>ing</w:t>
            </w:r>
            <w:r w:rsidRPr="00160CFF">
              <w:rPr>
                <w:i/>
              </w:rPr>
              <w:t xml:space="preserve"> Cash Flow for Employers</w:t>
            </w:r>
            <w:r w:rsidRPr="00ED4574">
              <w:t xml:space="preserve"> measure,</w:t>
            </w:r>
            <w:r>
              <w:t xml:space="preserve"> Tim’s business will receive $20,000. This is an additional $18,000 to support his business. </w:t>
            </w:r>
          </w:p>
          <w:p w14:paraId="7B7D68D5" w14:textId="77777777" w:rsidR="00863120" w:rsidRPr="00863120" w:rsidRDefault="00863120" w:rsidP="004F3737">
            <w:pPr>
              <w:pStyle w:val="Boxheading"/>
            </w:pPr>
            <w:r w:rsidRPr="00863120">
              <w:t>Help for the Homeless Op-Shop</w:t>
            </w:r>
          </w:p>
          <w:p w14:paraId="28A04D78" w14:textId="77777777" w:rsidR="00863120" w:rsidRDefault="00863120" w:rsidP="00863120">
            <w:r>
              <w:t>Help for the Homeless, a registered charity, runs an op-shop to support its programs and employs 5 part</w:t>
            </w:r>
            <w:r>
              <w:noBreakHyphen/>
              <w:t xml:space="preserve">time workers with average income of $30,000 per year. It reports total withholding of $3,510 for its employees for each quarterly BAS. </w:t>
            </w:r>
          </w:p>
          <w:p w14:paraId="28C8BEDA" w14:textId="77777777" w:rsidR="00863120" w:rsidRDefault="00863120" w:rsidP="00863120">
            <w:r>
              <w:t xml:space="preserve">Under the Government’s changes, Help for the Homeless will be eligible to receive the </w:t>
            </w:r>
            <w:r>
              <w:rPr>
                <w:rFonts w:cstheme="minorHAnsi"/>
              </w:rPr>
              <w:t>payment</w:t>
            </w:r>
            <w:r>
              <w:t xml:space="preserve"> on </w:t>
            </w:r>
            <w:proofErr w:type="spellStart"/>
            <w:r>
              <w:t>lodgment</w:t>
            </w:r>
            <w:proofErr w:type="spellEnd"/>
            <w:r>
              <w:t xml:space="preserve"> of its BAS as it is a charity. Help for the Homeless receives:</w:t>
            </w:r>
          </w:p>
          <w:p w14:paraId="384E7BE6" w14:textId="77777777" w:rsidR="00863120" w:rsidRPr="00863120" w:rsidRDefault="00863120" w:rsidP="00863120">
            <w:pPr>
              <w:pStyle w:val="Bullet"/>
              <w:numPr>
                <w:ilvl w:val="0"/>
                <w:numId w:val="11"/>
              </w:numPr>
              <w:rPr>
                <w:color w:val="auto"/>
              </w:rPr>
            </w:pPr>
            <w:r w:rsidRPr="00863120">
              <w:rPr>
                <w:color w:val="auto"/>
              </w:rPr>
              <w:lastRenderedPageBreak/>
              <w:t>A credit of $10,000 for the March quarter, the minimum payment.</w:t>
            </w:r>
          </w:p>
          <w:p w14:paraId="35F40411" w14:textId="77777777" w:rsidR="00863120" w:rsidRPr="00863120" w:rsidRDefault="00863120" w:rsidP="00863120">
            <w:pPr>
              <w:pStyle w:val="Bullet"/>
              <w:numPr>
                <w:ilvl w:val="0"/>
                <w:numId w:val="11"/>
              </w:numPr>
              <w:rPr>
                <w:color w:val="auto"/>
              </w:rPr>
            </w:pPr>
            <w:r w:rsidRPr="00863120">
              <w:rPr>
                <w:color w:val="auto"/>
              </w:rPr>
              <w:t xml:space="preserve">An additional payment of $5,000 for the June quarter, equal to 50 per cent of its total </w:t>
            </w:r>
            <w:r w:rsidRPr="00863120">
              <w:rPr>
                <w:i/>
                <w:color w:val="auto"/>
              </w:rPr>
              <w:t>Boosting Cash Flow for Employers</w:t>
            </w:r>
            <w:r w:rsidRPr="00863120">
              <w:rPr>
                <w:color w:val="auto"/>
              </w:rPr>
              <w:t xml:space="preserve"> payments.</w:t>
            </w:r>
          </w:p>
          <w:p w14:paraId="6D4CCE06" w14:textId="77777777" w:rsidR="00863120" w:rsidRPr="00863120" w:rsidRDefault="00863120" w:rsidP="00863120">
            <w:pPr>
              <w:pStyle w:val="Bullet"/>
              <w:numPr>
                <w:ilvl w:val="0"/>
                <w:numId w:val="11"/>
              </w:numPr>
              <w:rPr>
                <w:color w:val="auto"/>
              </w:rPr>
            </w:pPr>
            <w:r w:rsidRPr="00863120">
              <w:rPr>
                <w:color w:val="auto"/>
              </w:rPr>
              <w:t xml:space="preserve">An additional payment of $5,000 for the September quarter, equal to 50 per cent of its total </w:t>
            </w:r>
            <w:r w:rsidRPr="00863120">
              <w:rPr>
                <w:i/>
                <w:color w:val="auto"/>
              </w:rPr>
              <w:t>Boosting Cash Flow for Employers</w:t>
            </w:r>
            <w:r w:rsidRPr="00863120">
              <w:rPr>
                <w:color w:val="auto"/>
              </w:rPr>
              <w:t xml:space="preserve"> payments.</w:t>
            </w:r>
          </w:p>
          <w:p w14:paraId="2316AE62" w14:textId="3688B1D1" w:rsidR="007979D8" w:rsidRDefault="00863120" w:rsidP="004F3737">
            <w:r w:rsidRPr="00863120">
              <w:t xml:space="preserve">Under the Government’s enhanced </w:t>
            </w:r>
            <w:r w:rsidRPr="00863120">
              <w:rPr>
                <w:i/>
              </w:rPr>
              <w:t>Boosting Cash Flow for Employers</w:t>
            </w:r>
            <w:r w:rsidRPr="00863120">
              <w:t xml:space="preserve"> measure, Help for the Homeless will receive $20,000. Under the previously announced </w:t>
            </w:r>
            <w:r w:rsidRPr="00863120">
              <w:rPr>
                <w:i/>
              </w:rPr>
              <w:t>Boosting Cash Flow for Employers</w:t>
            </w:r>
            <w:r w:rsidRPr="00863120">
              <w:t xml:space="preserve"> measure, NFPs were not eligible for the support</w:t>
            </w:r>
            <w:r w:rsidR="00C0378C" w:rsidRPr="00C0378C">
              <w:t>.</w:t>
            </w:r>
          </w:p>
        </w:tc>
      </w:tr>
    </w:tbl>
    <w:p w14:paraId="3C7CFDA8" w14:textId="101D66E4" w:rsidR="003F1276" w:rsidRDefault="006A6889" w:rsidP="003F1276">
      <w:pPr>
        <w:pStyle w:val="Heading2"/>
      </w:pPr>
      <w:r>
        <w:lastRenderedPageBreak/>
        <w:t>Supporting apprentices and trainees</w:t>
      </w:r>
    </w:p>
    <w:p w14:paraId="36F9D0C0" w14:textId="3BC5B0D5" w:rsidR="00D60CF6" w:rsidRDefault="00D60CF6" w:rsidP="00D60CF6">
      <w:pPr>
        <w:pStyle w:val="Heading3"/>
      </w:pPr>
      <w:r>
        <w:t>Summary</w:t>
      </w:r>
    </w:p>
    <w:p w14:paraId="19B7EC55" w14:textId="5899D706" w:rsidR="00AE2073" w:rsidRPr="00AE2073" w:rsidRDefault="00AE2073" w:rsidP="00AE2073">
      <w:r w:rsidRPr="00AE2073">
        <w:t xml:space="preserve">The Government is supporting small business to retain their apprentices and trainees. Eligible employers can apply for a wage subsidy of 50 per cent of the apprentice’s or trainee’s wage </w:t>
      </w:r>
      <w:r w:rsidR="008F4DE9">
        <w:t>paid during the</w:t>
      </w:r>
      <w:r w:rsidRPr="00AE2073">
        <w:t xml:space="preserve"> 9 months from 1 January 2020 to 30 September 2020. Where a small business is not able to retain an apprentice, the subsidy will be available to a new employer. </w:t>
      </w:r>
    </w:p>
    <w:p w14:paraId="3FF23DE3" w14:textId="6285859F" w:rsidR="00AE2073" w:rsidRPr="00AE2073" w:rsidRDefault="00AE2073" w:rsidP="00AE2073">
      <w:r w:rsidRPr="00AE2073">
        <w:t>Employers will be reimbursed up to a maximum of</w:t>
      </w:r>
      <w:r w:rsidR="00FE5B1A">
        <w:t xml:space="preserve"> $21,000</w:t>
      </w:r>
      <w:r w:rsidRPr="00AE2073">
        <w:t xml:space="preserve"> per eligible apprentice or trainee</w:t>
      </w:r>
      <w:r w:rsidR="00FE5B1A">
        <w:t xml:space="preserve"> ($7,000 per quarter)</w:t>
      </w:r>
      <w:r w:rsidRPr="00AE2073">
        <w:t>.</w:t>
      </w:r>
    </w:p>
    <w:p w14:paraId="4B3D1278" w14:textId="45993D13" w:rsidR="00AE2073" w:rsidRPr="00AE2073" w:rsidRDefault="00AE2073" w:rsidP="00AE2073">
      <w:r w:rsidRPr="00AE2073">
        <w:t>Support will also be provided to the National Apprentice Employment Network, the peak national body representing Group Training Organisation</w:t>
      </w:r>
      <w:r w:rsidR="00276BBC">
        <w:t>s</w:t>
      </w:r>
      <w:r w:rsidRPr="00AE2073">
        <w:t>, to co</w:t>
      </w:r>
      <w:r w:rsidRPr="00AE2073">
        <w:noBreakHyphen/>
        <w:t>ordinate the re</w:t>
      </w:r>
      <w:r w:rsidR="00664CD2">
        <w:noBreakHyphen/>
      </w:r>
      <w:r w:rsidRPr="00AE2073">
        <w:t xml:space="preserve">employment of displaced apprentices and trainees throughout their network </w:t>
      </w:r>
      <w:r w:rsidR="00AF72CB">
        <w:t xml:space="preserve">of </w:t>
      </w:r>
      <w:r w:rsidR="00AF72CB" w:rsidRPr="00AE2073">
        <w:t xml:space="preserve">host employers </w:t>
      </w:r>
      <w:r w:rsidRPr="00AE2073">
        <w:t>across Australia.</w:t>
      </w:r>
    </w:p>
    <w:p w14:paraId="28CA3270" w14:textId="3227D95D" w:rsidR="00D60CF6" w:rsidRDefault="00D60CF6" w:rsidP="00D60CF6">
      <w:pPr>
        <w:pStyle w:val="Heading3"/>
      </w:pPr>
      <w:r>
        <w:t>Eligibility</w:t>
      </w:r>
    </w:p>
    <w:p w14:paraId="514DC483" w14:textId="17D58C09" w:rsidR="003E6996" w:rsidRDefault="00AE2073" w:rsidP="00AE2073">
      <w:r w:rsidRPr="00AE2073">
        <w:t>The subsidy will be available to small businesses employing fewer than 20 full</w:t>
      </w:r>
      <w:r w:rsidR="00664CD2">
        <w:noBreakHyphen/>
      </w:r>
      <w:r w:rsidRPr="00AE2073">
        <w:t xml:space="preserve">time employees who retain an apprentice or trainee. </w:t>
      </w:r>
      <w:r w:rsidR="00913078">
        <w:t>The apprentice or trainee must have been in training with a small business as at 1</w:t>
      </w:r>
      <w:r w:rsidR="00E2681D">
        <w:t> </w:t>
      </w:r>
      <w:r w:rsidR="00913078">
        <w:t>March 2020.</w:t>
      </w:r>
    </w:p>
    <w:p w14:paraId="12A6A776" w14:textId="2B6ADCF2" w:rsidR="00AE2073" w:rsidRPr="00AE2073" w:rsidRDefault="00AE2073" w:rsidP="00AE2073">
      <w:r w:rsidRPr="00AE2073">
        <w:t>Employers of any size and Group Training Organisations that re</w:t>
      </w:r>
      <w:r w:rsidR="00664CD2">
        <w:noBreakHyphen/>
      </w:r>
      <w:r w:rsidRPr="00AE2073">
        <w:t>engage an</w:t>
      </w:r>
      <w:r w:rsidR="00913078">
        <w:t xml:space="preserve"> eligible</w:t>
      </w:r>
      <w:r w:rsidRPr="00AE2073">
        <w:t xml:space="preserve"> out</w:t>
      </w:r>
      <w:r w:rsidR="00664CD2">
        <w:noBreakHyphen/>
      </w:r>
      <w:r w:rsidRPr="00AE2073">
        <w:t>of</w:t>
      </w:r>
      <w:r w:rsidR="00664CD2">
        <w:noBreakHyphen/>
      </w:r>
      <w:r w:rsidRPr="00AE2073">
        <w:t xml:space="preserve">trade apprentice </w:t>
      </w:r>
      <w:r w:rsidR="00AF72CB">
        <w:t xml:space="preserve">or trainee </w:t>
      </w:r>
      <w:r w:rsidR="00913078">
        <w:t xml:space="preserve">will </w:t>
      </w:r>
      <w:r w:rsidRPr="00AE2073">
        <w:t xml:space="preserve">be eligible for the subsidy. </w:t>
      </w:r>
    </w:p>
    <w:p w14:paraId="3DCA8333" w14:textId="06EFF7A2" w:rsidR="00D60CF6" w:rsidRDefault="00AE2073" w:rsidP="00D60CF6">
      <w:r w:rsidRPr="00AE2073">
        <w:t xml:space="preserve">Employers will be able to access the subsidy after an eligibility assessment is undertaken by an Australian Apprenticeship Support Network (AASN) provider. </w:t>
      </w:r>
    </w:p>
    <w:p w14:paraId="53CD970B" w14:textId="7116CF1A" w:rsidR="00DF2AEB" w:rsidRPr="00AE2073" w:rsidRDefault="00DF2AEB" w:rsidP="00D60CF6">
      <w:r>
        <w:t xml:space="preserve">This measure will support </w:t>
      </w:r>
      <w:r w:rsidR="00276BBC">
        <w:t xml:space="preserve">up to </w:t>
      </w:r>
      <w:r w:rsidR="00101D11">
        <w:t>70,000</w:t>
      </w:r>
      <w:r>
        <w:t xml:space="preserve"> </w:t>
      </w:r>
      <w:r w:rsidR="00101D11">
        <w:t xml:space="preserve">small </w:t>
      </w:r>
      <w:r>
        <w:t>businesses</w:t>
      </w:r>
      <w:r w:rsidR="00101D11">
        <w:t xml:space="preserve">, employing </w:t>
      </w:r>
      <w:r w:rsidR="00310B1F">
        <w:t>around</w:t>
      </w:r>
      <w:r w:rsidR="00394B23">
        <w:t xml:space="preserve"> </w:t>
      </w:r>
      <w:r w:rsidR="00101D11">
        <w:t>11</w:t>
      </w:r>
      <w:r w:rsidR="00590A93">
        <w:t>7</w:t>
      </w:r>
      <w:r w:rsidR="00101D11">
        <w:t>,000 apprentices</w:t>
      </w:r>
      <w:r>
        <w:t xml:space="preserve">. </w:t>
      </w:r>
    </w:p>
    <w:p w14:paraId="6FFDC09C" w14:textId="6565E37C" w:rsidR="00D60CF6" w:rsidRDefault="00D60CF6" w:rsidP="007858F0">
      <w:pPr>
        <w:pStyle w:val="Heading3"/>
        <w:rPr>
          <w:caps/>
        </w:rPr>
      </w:pPr>
      <w:r>
        <w:t>T</w:t>
      </w:r>
      <w:r w:rsidRPr="005F12DA">
        <w:t>iming</w:t>
      </w:r>
    </w:p>
    <w:p w14:paraId="5B383DA3" w14:textId="4A1FC2CD" w:rsidR="00AE2073" w:rsidRPr="00516D98" w:rsidRDefault="00AE2073" w:rsidP="00AE2073">
      <w:r w:rsidRPr="00516D98">
        <w:t xml:space="preserve">Employers can register for the subsidy from </w:t>
      </w:r>
      <w:r w:rsidR="00730E0E">
        <w:t>early</w:t>
      </w:r>
      <w:r w:rsidR="009A0D40">
        <w:t xml:space="preserve"> </w:t>
      </w:r>
      <w:r w:rsidRPr="00516D98">
        <w:t>April 2020. Final claims for payment must be lodged by 31 December 2020.</w:t>
      </w:r>
    </w:p>
    <w:p w14:paraId="17A17A8C" w14:textId="77777777" w:rsidR="00AE2073" w:rsidRDefault="00AE2073" w:rsidP="00AE2073">
      <w:r w:rsidRPr="00A94885">
        <w:t>Further information is available at</w:t>
      </w:r>
      <w:r>
        <w:t xml:space="preserve">: </w:t>
      </w:r>
    </w:p>
    <w:p w14:paraId="28E708A7" w14:textId="2DD72D18" w:rsidR="00AE2073" w:rsidRDefault="00AE2073" w:rsidP="00CB3672">
      <w:pPr>
        <w:pStyle w:val="Bullet"/>
      </w:pPr>
      <w:r w:rsidRPr="00CB3672">
        <w:rPr>
          <w:color w:val="auto"/>
        </w:rPr>
        <w:t>The Department of Education, Skills and Employment website at:</w:t>
      </w:r>
      <w:r w:rsidRPr="00516D98">
        <w:t xml:space="preserve"> </w:t>
      </w:r>
      <w:hyperlink r:id="rId13" w:history="1">
        <w:r w:rsidR="00C3393B" w:rsidRPr="00C3393B">
          <w:rPr>
            <w:rStyle w:val="Hyperlink"/>
          </w:rPr>
          <w:t>www.dese.gov.au</w:t>
        </w:r>
      </w:hyperlink>
      <w:r w:rsidR="00C3393B">
        <w:t xml:space="preserve"> </w:t>
      </w:r>
    </w:p>
    <w:p w14:paraId="4243C68F" w14:textId="77777777" w:rsidR="00AE2073" w:rsidRDefault="00AE2073" w:rsidP="00CB3672">
      <w:pPr>
        <w:pStyle w:val="Bullet"/>
      </w:pPr>
      <w:r w:rsidRPr="00CB3672">
        <w:rPr>
          <w:color w:val="auto"/>
        </w:rPr>
        <w:t xml:space="preserve">Australian Apprenticeships website at: </w:t>
      </w:r>
      <w:hyperlink r:id="rId14" w:history="1">
        <w:r>
          <w:rPr>
            <w:rStyle w:val="Hyperlink"/>
          </w:rPr>
          <w:t>www.australianapprenticeships.gov.au</w:t>
        </w:r>
      </w:hyperlink>
      <w:r>
        <w:t xml:space="preserve">  </w:t>
      </w:r>
    </w:p>
    <w:p w14:paraId="10D4EDAF" w14:textId="5C215341" w:rsidR="00D60CF6" w:rsidRPr="00AE2073" w:rsidRDefault="00AE2073" w:rsidP="00AE2073">
      <w:r w:rsidRPr="00516D98">
        <w:t xml:space="preserve">For further information on how to apply for the subsidy, including information on eligibility, contact an Australian Apprenticeship Support Network (AASN) provider. </w:t>
      </w:r>
    </w:p>
    <w:p w14:paraId="3C7CFDA9" w14:textId="385C54E2" w:rsidR="005F4A7B" w:rsidRDefault="00D60CF6" w:rsidP="00D60CF6">
      <w:pPr>
        <w:pStyle w:val="Heading3"/>
      </w:pPr>
      <w:r>
        <w:t>Budget impact</w:t>
      </w:r>
    </w:p>
    <w:p w14:paraId="649D31BC" w14:textId="36D1D0C7" w:rsidR="003E6996" w:rsidRDefault="003E6996" w:rsidP="003E6996">
      <w:r w:rsidRPr="00A51DED">
        <w:t>This measure is expected to cost $1.3 billion across 2019</w:t>
      </w:r>
      <w:r w:rsidR="00664CD2">
        <w:noBreakHyphen/>
      </w:r>
      <w:r w:rsidRPr="00A51DED">
        <w:t>20 and 2020</w:t>
      </w:r>
      <w:r w:rsidR="00664CD2">
        <w:noBreakHyphen/>
      </w:r>
      <w:r w:rsidRPr="00A51DED">
        <w:t>21.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D7E1E1"/>
        <w:tblLook w:val="04A0" w:firstRow="1" w:lastRow="0" w:firstColumn="1" w:lastColumn="0" w:noHBand="0" w:noVBand="1"/>
      </w:tblPr>
      <w:tblGrid>
        <w:gridCol w:w="9629"/>
      </w:tblGrid>
      <w:tr w:rsidR="00D06CCE" w14:paraId="3D64E30A" w14:textId="77777777" w:rsidTr="006E0AD7">
        <w:tc>
          <w:tcPr>
            <w:tcW w:w="9629" w:type="dxa"/>
            <w:shd w:val="clear" w:color="auto" w:fill="D7E1E1"/>
          </w:tcPr>
          <w:p w14:paraId="0101CED2" w14:textId="1CC89787" w:rsidR="00425CD9" w:rsidRDefault="00DA5B6D" w:rsidP="00DA5B6D">
            <w:pPr>
              <w:pStyle w:val="Boxheading"/>
            </w:pPr>
            <w:r>
              <w:t>David’s Plumbing</w:t>
            </w:r>
          </w:p>
          <w:p w14:paraId="0AF72EAB" w14:textId="46A69DD5" w:rsidR="00714968" w:rsidRPr="00570E1C" w:rsidRDefault="00714968" w:rsidP="00714968">
            <w:r>
              <w:t>David’s Plumbing is a small business that employs 10 people, including two full</w:t>
            </w:r>
            <w:r>
              <w:noBreakHyphen/>
              <w:t xml:space="preserve">time Australian Apprentices. </w:t>
            </w:r>
          </w:p>
          <w:p w14:paraId="47C6022E" w14:textId="0F841144" w:rsidR="00714968" w:rsidRDefault="00714968" w:rsidP="00714968">
            <w:r>
              <w:lastRenderedPageBreak/>
              <w:t>Taylor is a first year Australian Apprentice, aged 20, undertaking a Certificate III qualification</w:t>
            </w:r>
            <w:r w:rsidR="0022336C">
              <w:t xml:space="preserve">. </w:t>
            </w:r>
            <w:r>
              <w:t>She commenced her apprenticeship with David’s Plumbing on 6 February 2020. Taylor receives a weekly wage of $532.89.</w:t>
            </w:r>
          </w:p>
          <w:p w14:paraId="124E710F" w14:textId="77777777" w:rsidR="00714968" w:rsidRDefault="00714968" w:rsidP="00714968">
            <w:r>
              <w:t>Lisa is a third year Australian Apprentice, aged 29, undertaking a Certificate IV qualification. She commenced her apprenticeship with David’s Plumbing on 18 November 2017. She receives a weekly wage of $772.71.</w:t>
            </w:r>
          </w:p>
          <w:p w14:paraId="665417D3" w14:textId="77777777" w:rsidR="00714968" w:rsidRDefault="00714968" w:rsidP="00714968">
            <w:r>
              <w:t xml:space="preserve">David’s Plumbing are eligible for </w:t>
            </w:r>
            <w:r>
              <w:rPr>
                <w:i/>
              </w:rPr>
              <w:t>Supporting Apprentices and Trainees</w:t>
            </w:r>
            <w:r>
              <w:t xml:space="preserve"> which pays 50 per cent of the apprentices’ wages that have been paid by David’s Plumbing since 1 January 2020.</w:t>
            </w:r>
          </w:p>
          <w:p w14:paraId="4322EF84" w14:textId="77777777" w:rsidR="00714968" w:rsidRDefault="00714968" w:rsidP="00714968">
            <w:r>
              <w:t>David’s Plumbing will receive:</w:t>
            </w:r>
          </w:p>
          <w:p w14:paraId="2E4B6A14" w14:textId="77777777" w:rsidR="00714968" w:rsidRPr="00B97A84" w:rsidRDefault="00714968" w:rsidP="00B97A84">
            <w:pPr>
              <w:pStyle w:val="Bullet"/>
              <w:rPr>
                <w:color w:val="auto"/>
              </w:rPr>
            </w:pPr>
            <w:r w:rsidRPr="00B97A84">
              <w:rPr>
                <w:color w:val="auto"/>
              </w:rPr>
              <w:t>$9,059 subsidy for employing Taylor for 6 February 2020 to 30 September 2020; and</w:t>
            </w:r>
          </w:p>
          <w:p w14:paraId="1BD7B5C4" w14:textId="1E3153EA" w:rsidR="00D06CCE" w:rsidRDefault="00714968" w:rsidP="00B97A84">
            <w:pPr>
              <w:pStyle w:val="Bullet"/>
            </w:pPr>
            <w:r w:rsidRPr="00B97A84">
              <w:rPr>
                <w:color w:val="auto"/>
              </w:rPr>
              <w:t>$15,068 subsidy for employing Lisa for 1 January 2020 to 30 September 2020.</w:t>
            </w:r>
          </w:p>
        </w:tc>
      </w:tr>
    </w:tbl>
    <w:p w14:paraId="3C7CFDAA" w14:textId="2F0D1FF7" w:rsidR="00C54D58" w:rsidRDefault="00D60CF6" w:rsidP="00C54D58">
      <w:pPr>
        <w:pStyle w:val="Heading2"/>
        <w:rPr>
          <w:rFonts w:asciiTheme="minorHAnsi" w:eastAsiaTheme="minorEastAsia" w:hAnsiTheme="minorHAnsi" w:cs="Times New Roman"/>
          <w:caps w:val="0"/>
          <w:color w:val="auto"/>
          <w:sz w:val="22"/>
          <w:szCs w:val="20"/>
        </w:rPr>
      </w:pPr>
      <w:r>
        <w:lastRenderedPageBreak/>
        <w:t>for more information</w:t>
      </w:r>
    </w:p>
    <w:p w14:paraId="23F1934B" w14:textId="45D3EC95" w:rsidR="007E740B" w:rsidRDefault="00316B01" w:rsidP="00CB3672">
      <w:r w:rsidRPr="00CB3672">
        <w:t>For more information on the</w:t>
      </w:r>
      <w:r w:rsidR="00D60CF6" w:rsidRPr="00CB3672">
        <w:t xml:space="preserve"> Australian Government’s </w:t>
      </w:r>
      <w:r w:rsidR="007E740B" w:rsidRPr="00CB3672">
        <w:t>E</w:t>
      </w:r>
      <w:r w:rsidR="00D60CF6" w:rsidRPr="00CB3672">
        <w:t xml:space="preserve">conomic </w:t>
      </w:r>
      <w:r w:rsidR="007E740B" w:rsidRPr="00CB3672">
        <w:t xml:space="preserve">Response </w:t>
      </w:r>
      <w:r w:rsidR="00D60CF6" w:rsidRPr="00CB3672">
        <w:t>to</w:t>
      </w:r>
      <w:r w:rsidR="00D80D46">
        <w:t xml:space="preserve"> the</w:t>
      </w:r>
      <w:r w:rsidR="00D60CF6" w:rsidRPr="00CB3672">
        <w:t xml:space="preserve"> </w:t>
      </w:r>
      <w:r w:rsidR="00E66373">
        <w:t>C</w:t>
      </w:r>
      <w:r w:rsidR="008E37AD">
        <w:t>oronavirus</w:t>
      </w:r>
      <w:r w:rsidR="007E740B">
        <w:t xml:space="preserve"> visit </w:t>
      </w:r>
      <w:hyperlink r:id="rId15" w:history="1">
        <w:r w:rsidR="007E740B" w:rsidRPr="002065F8">
          <w:rPr>
            <w:rStyle w:val="Hyperlink"/>
          </w:rPr>
          <w:t>treasury.gov.au/</w:t>
        </w:r>
        <w:r w:rsidR="001C0485" w:rsidRPr="002065F8">
          <w:rPr>
            <w:rStyle w:val="Hyperlink"/>
          </w:rPr>
          <w:t>coronavirus</w:t>
        </w:r>
      </w:hyperlink>
      <w:r w:rsidR="007E740B">
        <w:t>.</w:t>
      </w:r>
    </w:p>
    <w:p w14:paraId="61F6773F" w14:textId="2B18BDF1" w:rsidR="007E740B" w:rsidRPr="00CB3672" w:rsidRDefault="00943959" w:rsidP="00CB3672">
      <w:r>
        <w:t xml:space="preserve">Businesses can visit </w:t>
      </w:r>
      <w:hyperlink r:id="rId16" w:history="1">
        <w:r w:rsidRPr="002065F8">
          <w:rPr>
            <w:rStyle w:val="Hyperlink"/>
          </w:rPr>
          <w:t>business.gov.au</w:t>
        </w:r>
      </w:hyperlink>
      <w:r>
        <w:t xml:space="preserve"> to find out more about how the Economic Response complements the range of support available to small and medium businesses.</w:t>
      </w:r>
      <w:bookmarkStart w:id="0" w:name="_GoBack"/>
      <w:bookmarkEnd w:id="0"/>
    </w:p>
    <w:sectPr w:rsidR="007E740B" w:rsidRPr="00CB3672" w:rsidSect="003E6996">
      <w:footerReference w:type="default" r:id="rId17"/>
      <w:headerReference w:type="first" r:id="rId18"/>
      <w:type w:val="continuous"/>
      <w:pgSz w:w="11906" w:h="16838" w:code="9"/>
      <w:pgMar w:top="1276" w:right="1133" w:bottom="851" w:left="1134" w:header="794" w:footer="227" w:gutter="0"/>
      <w:cols w:space="39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EC957" w14:textId="77777777" w:rsidR="005C2032" w:rsidRDefault="005C2032" w:rsidP="00F3183C">
      <w:pPr>
        <w:spacing w:before="0" w:after="0"/>
      </w:pPr>
      <w:r>
        <w:separator/>
      </w:r>
    </w:p>
  </w:endnote>
  <w:endnote w:type="continuationSeparator" w:id="0">
    <w:p w14:paraId="5B280DFA" w14:textId="77777777" w:rsidR="005C2032" w:rsidRDefault="005C2032" w:rsidP="00F3183C">
      <w:pPr>
        <w:spacing w:before="0" w:after="0"/>
      </w:pPr>
      <w:r>
        <w:continuationSeparator/>
      </w:r>
    </w:p>
  </w:endnote>
  <w:endnote w:type="continuationNotice" w:id="1">
    <w:p w14:paraId="4E2709BC" w14:textId="77777777" w:rsidR="005C2032" w:rsidRDefault="005C2032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43197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7CFDD0" w14:textId="0D05E706" w:rsidR="005C2032" w:rsidRDefault="005C2032" w:rsidP="00CE03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3CE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CBCD3" w14:textId="77777777" w:rsidR="005C2032" w:rsidRDefault="005C2032" w:rsidP="00F3183C">
      <w:pPr>
        <w:spacing w:before="0" w:after="0"/>
      </w:pPr>
      <w:r>
        <w:separator/>
      </w:r>
    </w:p>
  </w:footnote>
  <w:footnote w:type="continuationSeparator" w:id="0">
    <w:p w14:paraId="335AB8D3" w14:textId="77777777" w:rsidR="005C2032" w:rsidRDefault="005C2032" w:rsidP="00F3183C">
      <w:pPr>
        <w:spacing w:before="0" w:after="0"/>
      </w:pPr>
      <w:r>
        <w:continuationSeparator/>
      </w:r>
    </w:p>
  </w:footnote>
  <w:footnote w:type="continuationNotice" w:id="1">
    <w:p w14:paraId="253E6512" w14:textId="77777777" w:rsidR="005C2032" w:rsidRDefault="005C2032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CFDD1" w14:textId="75C75338" w:rsidR="005C2032" w:rsidRPr="00F37BE7" w:rsidRDefault="005C2032" w:rsidP="00F37BE7">
    <w:pPr>
      <w:pStyle w:val="Header"/>
      <w:spacing w:before="840" w:after="240"/>
      <w:rPr>
        <w:rFonts w:asciiTheme="majorHAnsi" w:eastAsiaTheme="majorEastAsia" w:hAnsiTheme="majorHAnsi" w:cstheme="majorBidi"/>
        <w:noProof/>
        <w:color w:val="FFFFFF" w:themeColor="background1"/>
        <w:spacing w:val="-10"/>
        <w:kern w:val="28"/>
        <w:sz w:val="56"/>
        <w:szCs w:val="56"/>
      </w:rPr>
    </w:pPr>
    <w:r>
      <w:rPr>
        <w:noProof/>
        <w:sz w:val="18"/>
        <w:lang w:eastAsia="en-AU"/>
      </w:rPr>
      <w:drawing>
        <wp:anchor distT="0" distB="0" distL="114300" distR="114300" simplePos="0" relativeHeight="251658243" behindDoc="0" locked="0" layoutInCell="1" allowOverlap="1" wp14:anchorId="5AF1508D" wp14:editId="26E16493">
          <wp:simplePos x="0" y="0"/>
          <wp:positionH relativeFrom="margin">
            <wp:align>left</wp:align>
          </wp:positionH>
          <wp:positionV relativeFrom="paragraph">
            <wp:posOffset>-248285</wp:posOffset>
          </wp:positionV>
          <wp:extent cx="2195830" cy="61341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ustGovt_inline_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5830" cy="613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C7CFDD4" wp14:editId="038AEA7F">
              <wp:simplePos x="0" y="0"/>
              <wp:positionH relativeFrom="column">
                <wp:posOffset>1718310</wp:posOffset>
              </wp:positionH>
              <wp:positionV relativeFrom="paragraph">
                <wp:posOffset>-275590</wp:posOffset>
              </wp:positionV>
              <wp:extent cx="4257675" cy="6096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7675" cy="6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25A277E" w14:textId="77777777" w:rsidR="005C2032" w:rsidRDefault="005C2032" w:rsidP="002C67AE">
                          <w:pPr>
                            <w:pStyle w:val="Title"/>
                            <w:jc w:val="right"/>
                            <w:rPr>
                              <w:sz w:val="32"/>
                            </w:rPr>
                          </w:pPr>
                          <w:r w:rsidRPr="00F37BE7">
                            <w:rPr>
                              <w:sz w:val="28"/>
                            </w:rPr>
                            <w:t>FACT SHEET</w:t>
                          </w:r>
                        </w:p>
                        <w:p w14:paraId="77A9C557" w14:textId="5AE5B627" w:rsidR="005C2032" w:rsidRPr="00280F1A" w:rsidRDefault="005C2032" w:rsidP="002C67AE">
                          <w:pPr>
                            <w:pStyle w:val="Title"/>
                            <w:jc w:val="right"/>
                            <w:rPr>
                              <w:b/>
                              <w:sz w:val="32"/>
                            </w:rPr>
                          </w:pPr>
                          <w:r w:rsidRPr="00280F1A">
                            <w:rPr>
                              <w:b/>
                              <w:sz w:val="32"/>
                            </w:rPr>
                            <w:t xml:space="preserve">ECONOMIC RESPONSE TO </w:t>
                          </w:r>
                          <w:r>
                            <w:rPr>
                              <w:b/>
                              <w:sz w:val="32"/>
                            </w:rPr>
                            <w:t xml:space="preserve">THE </w:t>
                          </w:r>
                          <w:r w:rsidRPr="00280F1A">
                            <w:rPr>
                              <w:b/>
                              <w:sz w:val="32"/>
                            </w:rPr>
                            <w:t>CORONAVIRUS</w:t>
                          </w:r>
                        </w:p>
                        <w:p w14:paraId="4704A021" w14:textId="77777777" w:rsidR="005C2032" w:rsidRPr="002C67AE" w:rsidRDefault="005C2032" w:rsidP="002C67A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7CFDD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35.3pt;margin-top:-21.7pt;width:335.25pt;height:4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" filled="f" stroked="f" strokeweight=".5pt">
              <v:textbox>
                <w:txbxContent>
                  <w:p w14:paraId="225A277E" w14:textId="77777777" w:rsidR="005C2032" w:rsidRDefault="005C2032" w:rsidP="002C67AE">
                    <w:pPr>
                      <w:pStyle w:val="Title"/>
                      <w:jc w:val="right"/>
                      <w:rPr>
                        <w:sz w:val="32"/>
                      </w:rPr>
                    </w:pPr>
                    <w:r w:rsidRPr="00F37BE7">
                      <w:rPr>
                        <w:sz w:val="28"/>
                      </w:rPr>
                      <w:t>FACT SHEET</w:t>
                    </w:r>
                  </w:p>
                  <w:p w14:paraId="77A9C557" w14:textId="5AE5B627" w:rsidR="005C2032" w:rsidRPr="00280F1A" w:rsidRDefault="005C2032" w:rsidP="002C67AE">
                    <w:pPr>
                      <w:pStyle w:val="Title"/>
                      <w:jc w:val="right"/>
                      <w:rPr>
                        <w:b/>
                        <w:sz w:val="32"/>
                      </w:rPr>
                    </w:pPr>
                    <w:r w:rsidRPr="00280F1A">
                      <w:rPr>
                        <w:b/>
                        <w:sz w:val="32"/>
                      </w:rPr>
                      <w:t xml:space="preserve">ECONOMIC RESPONSE TO </w:t>
                    </w:r>
                    <w:r>
                      <w:rPr>
                        <w:b/>
                        <w:sz w:val="32"/>
                      </w:rPr>
                      <w:t xml:space="preserve">THE </w:t>
                    </w:r>
                    <w:r w:rsidRPr="00280F1A">
                      <w:rPr>
                        <w:b/>
                        <w:sz w:val="32"/>
                      </w:rPr>
                      <w:t>CORONAVIRUS</w:t>
                    </w:r>
                  </w:p>
                  <w:p w14:paraId="4704A021" w14:textId="77777777" w:rsidR="005C2032" w:rsidRPr="002C67AE" w:rsidRDefault="005C2032" w:rsidP="002C67AE"/>
                </w:txbxContent>
              </v:textbox>
            </v:shape>
          </w:pict>
        </mc:Fallback>
      </mc:AlternateContent>
    </w:r>
    <w:r w:rsidRPr="002C67AE">
      <w:rPr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C7CFDD2" wp14:editId="3C7CFDD3">
              <wp:simplePos x="0" y="0"/>
              <wp:positionH relativeFrom="page">
                <wp:posOffset>0</wp:posOffset>
              </wp:positionH>
              <wp:positionV relativeFrom="page">
                <wp:posOffset>-8890</wp:posOffset>
              </wp:positionV>
              <wp:extent cx="7559675" cy="1524000"/>
              <wp:effectExtent l="0" t="0" r="317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524000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CF2ECB" id="Rectangle 1" o:spid="_x0000_s1026" style="position:absolute;margin-left:0;margin-top:-.7pt;width:595.25pt;height:12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" fillcolor="#00827f [3206]" stroked="f">
              <w10:wrap anchorx="page" anchory="page"/>
            </v:rect>
          </w:pict>
        </mc:Fallback>
      </mc:AlternateContent>
    </w:r>
    <w:r w:rsidRPr="002C67AE">
      <w:rPr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3C7CFDD6" wp14:editId="3C7CFDD7">
              <wp:simplePos x="0" y="0"/>
              <wp:positionH relativeFrom="page">
                <wp:posOffset>-3810</wp:posOffset>
              </wp:positionH>
              <wp:positionV relativeFrom="topMargin">
                <wp:posOffset>1482725</wp:posOffset>
              </wp:positionV>
              <wp:extent cx="7560000" cy="97200"/>
              <wp:effectExtent l="0" t="0" r="3175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72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43D7DE" id="Rectangle 4" o:spid="_x0000_s1026" style="position:absolute;margin-left:-.3pt;margin-top:116.75pt;width:595.3pt;height:7.6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" fillcolor="#002c47 [3204]" stroked="f">
              <w10:wrap anchorx="page" anchory="margin"/>
            </v:rect>
          </w:pict>
        </mc:Fallback>
      </mc:AlternateContent>
    </w:r>
    <w:r>
      <w:rPr>
        <w:rStyle w:val="TitleChar"/>
      </w:rPr>
      <w:t>Cash flow assistance for businesses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1160"/>
    <w:multiLevelType w:val="multilevel"/>
    <w:tmpl w:val="2CFC3B6C"/>
    <w:lvl w:ilvl="0">
      <w:start w:val="1"/>
      <w:numFmt w:val="bullet"/>
      <w:lvlText w:val="•"/>
      <w:lvlJc w:val="left"/>
      <w:pPr>
        <w:tabs>
          <w:tab w:val="num" w:pos="520"/>
        </w:tabs>
        <w:ind w:left="520" w:hanging="520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1040"/>
        </w:tabs>
        <w:ind w:left="1040" w:hanging="520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560"/>
        </w:tabs>
        <w:ind w:left="1560" w:hanging="52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03B542D"/>
    <w:multiLevelType w:val="multilevel"/>
    <w:tmpl w:val="53123EFC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520"/>
        </w:tabs>
        <w:ind w:left="520" w:hanging="520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040"/>
        </w:tabs>
        <w:ind w:left="1040" w:hanging="5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pStyle w:val="DoubleDot"/>
      <w:lvlText w:val=":"/>
      <w:lvlJc w:val="left"/>
      <w:pPr>
        <w:tabs>
          <w:tab w:val="num" w:pos="1560"/>
        </w:tabs>
        <w:ind w:left="1560" w:hanging="52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15C1EF4"/>
    <w:multiLevelType w:val="multilevel"/>
    <w:tmpl w:val="5718BF3C"/>
    <w:name w:val="StandardNumberedList"/>
    <w:lvl w:ilvl="0">
      <w:start w:val="1"/>
      <w:numFmt w:val="decimal"/>
      <w:pStyle w:val="OutlineNumbered1"/>
      <w:lvlText w:val="%1."/>
      <w:lvlJc w:val="left"/>
      <w:pPr>
        <w:tabs>
          <w:tab w:val="num" w:pos="520"/>
        </w:tabs>
        <w:ind w:left="520" w:hanging="520"/>
      </w:pPr>
    </w:lvl>
    <w:lvl w:ilvl="1">
      <w:start w:val="1"/>
      <w:numFmt w:val="decimal"/>
      <w:pStyle w:val="OutlineNumbered2"/>
      <w:lvlText w:val="%1.%2."/>
      <w:lvlJc w:val="left"/>
      <w:pPr>
        <w:tabs>
          <w:tab w:val="num" w:pos="1040"/>
        </w:tabs>
        <w:ind w:left="1040" w:hanging="520"/>
      </w:pPr>
    </w:lvl>
    <w:lvl w:ilvl="2">
      <w:start w:val="1"/>
      <w:numFmt w:val="decimal"/>
      <w:pStyle w:val="OutlineNumbered3"/>
      <w:lvlText w:val="%1.%2.%3."/>
      <w:lvlJc w:val="left"/>
      <w:pPr>
        <w:tabs>
          <w:tab w:val="num" w:pos="1560"/>
        </w:tabs>
        <w:ind w:left="1560" w:hanging="52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3747469"/>
    <w:multiLevelType w:val="hybridMultilevel"/>
    <w:tmpl w:val="B47A2B3C"/>
    <w:lvl w:ilvl="0" w:tplc="FD8811E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2D1AFC"/>
    <w:multiLevelType w:val="hybridMultilevel"/>
    <w:tmpl w:val="FAF8C3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A2B3F"/>
    <w:multiLevelType w:val="hybridMultilevel"/>
    <w:tmpl w:val="9A703348"/>
    <w:lvl w:ilvl="0" w:tplc="2B4434E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7A73E9C"/>
    <w:multiLevelType w:val="multilevel"/>
    <w:tmpl w:val="A42A75A6"/>
    <w:lvl w:ilvl="0">
      <w:start w:val="1"/>
      <w:numFmt w:val="bullet"/>
      <w:lvlText w:val="•"/>
      <w:lvlJc w:val="left"/>
      <w:pPr>
        <w:tabs>
          <w:tab w:val="num" w:pos="520"/>
        </w:tabs>
        <w:ind w:left="520" w:hanging="520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1040"/>
        </w:tabs>
        <w:ind w:left="1040" w:hanging="520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560"/>
        </w:tabs>
        <w:ind w:left="1560" w:hanging="52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1"/>
  </w:num>
  <w:num w:numId="9">
    <w:abstractNumId w:val="1"/>
  </w:num>
  <w:num w:numId="10">
    <w:abstractNumId w:val="4"/>
  </w:num>
  <w:num w:numId="11">
    <w:abstractNumId w:val="6"/>
  </w:num>
  <w:num w:numId="12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C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1"/>
  <w:defaultTabStop w:val="720"/>
  <w:characterSpacingControl w:val="doNotCompress"/>
  <w:hdrShapeDefaults>
    <o:shapedefaults v:ext="edit" spidmax="8192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ecurityClassificationInHeader" w:val="False"/>
  </w:docVars>
  <w:rsids>
    <w:rsidRoot w:val="00481FF5"/>
    <w:rsid w:val="000067CA"/>
    <w:rsid w:val="00013FAC"/>
    <w:rsid w:val="000146DF"/>
    <w:rsid w:val="00020A69"/>
    <w:rsid w:val="00027938"/>
    <w:rsid w:val="000305B7"/>
    <w:rsid w:val="0003236C"/>
    <w:rsid w:val="0003732C"/>
    <w:rsid w:val="0004628B"/>
    <w:rsid w:val="00055A1A"/>
    <w:rsid w:val="00067C74"/>
    <w:rsid w:val="00067CD8"/>
    <w:rsid w:val="00080457"/>
    <w:rsid w:val="00085656"/>
    <w:rsid w:val="000A0B49"/>
    <w:rsid w:val="000A0EB8"/>
    <w:rsid w:val="000D1206"/>
    <w:rsid w:val="000D442C"/>
    <w:rsid w:val="000D6772"/>
    <w:rsid w:val="000E1BEC"/>
    <w:rsid w:val="000F1CD7"/>
    <w:rsid w:val="000F6902"/>
    <w:rsid w:val="00100045"/>
    <w:rsid w:val="001007C4"/>
    <w:rsid w:val="00101D11"/>
    <w:rsid w:val="00115B51"/>
    <w:rsid w:val="0011703C"/>
    <w:rsid w:val="001301F3"/>
    <w:rsid w:val="001322D2"/>
    <w:rsid w:val="001333F4"/>
    <w:rsid w:val="00136C7E"/>
    <w:rsid w:val="00142868"/>
    <w:rsid w:val="00167763"/>
    <w:rsid w:val="0018043E"/>
    <w:rsid w:val="001A0B65"/>
    <w:rsid w:val="001A2077"/>
    <w:rsid w:val="001A5F9E"/>
    <w:rsid w:val="001A73D4"/>
    <w:rsid w:val="001B7CA6"/>
    <w:rsid w:val="001C0485"/>
    <w:rsid w:val="001D1AD4"/>
    <w:rsid w:val="001D1D6B"/>
    <w:rsid w:val="001D2155"/>
    <w:rsid w:val="001D23DB"/>
    <w:rsid w:val="001D261D"/>
    <w:rsid w:val="001D75A4"/>
    <w:rsid w:val="001E1194"/>
    <w:rsid w:val="001E1A93"/>
    <w:rsid w:val="001E4906"/>
    <w:rsid w:val="001F4434"/>
    <w:rsid w:val="00201014"/>
    <w:rsid w:val="00201327"/>
    <w:rsid w:val="002065F8"/>
    <w:rsid w:val="002224F9"/>
    <w:rsid w:val="0022336C"/>
    <w:rsid w:val="00226FDF"/>
    <w:rsid w:val="002332F6"/>
    <w:rsid w:val="00237713"/>
    <w:rsid w:val="002428EF"/>
    <w:rsid w:val="00244BFA"/>
    <w:rsid w:val="002456C7"/>
    <w:rsid w:val="002569BC"/>
    <w:rsid w:val="00256D60"/>
    <w:rsid w:val="0026527A"/>
    <w:rsid w:val="00267B49"/>
    <w:rsid w:val="0027171E"/>
    <w:rsid w:val="00276BBC"/>
    <w:rsid w:val="00280F1A"/>
    <w:rsid w:val="00284E60"/>
    <w:rsid w:val="00285732"/>
    <w:rsid w:val="00287732"/>
    <w:rsid w:val="002A5EE3"/>
    <w:rsid w:val="002B2891"/>
    <w:rsid w:val="002B32F7"/>
    <w:rsid w:val="002B3746"/>
    <w:rsid w:val="002B7286"/>
    <w:rsid w:val="002C04FD"/>
    <w:rsid w:val="002C67AE"/>
    <w:rsid w:val="002D6D37"/>
    <w:rsid w:val="002E77FE"/>
    <w:rsid w:val="002F076A"/>
    <w:rsid w:val="00310B1F"/>
    <w:rsid w:val="00311DD6"/>
    <w:rsid w:val="00314911"/>
    <w:rsid w:val="003164FA"/>
    <w:rsid w:val="00316B01"/>
    <w:rsid w:val="00322B3E"/>
    <w:rsid w:val="00322BBB"/>
    <w:rsid w:val="003233A4"/>
    <w:rsid w:val="00326852"/>
    <w:rsid w:val="00332345"/>
    <w:rsid w:val="00334764"/>
    <w:rsid w:val="00347AA0"/>
    <w:rsid w:val="003515FF"/>
    <w:rsid w:val="00351A69"/>
    <w:rsid w:val="00351CC5"/>
    <w:rsid w:val="00360002"/>
    <w:rsid w:val="00370813"/>
    <w:rsid w:val="003713FE"/>
    <w:rsid w:val="00374CBE"/>
    <w:rsid w:val="0037670B"/>
    <w:rsid w:val="00382473"/>
    <w:rsid w:val="00383E89"/>
    <w:rsid w:val="00394B23"/>
    <w:rsid w:val="003A0754"/>
    <w:rsid w:val="003A0E0D"/>
    <w:rsid w:val="003A24DC"/>
    <w:rsid w:val="003A72B0"/>
    <w:rsid w:val="003B234F"/>
    <w:rsid w:val="003B3FE9"/>
    <w:rsid w:val="003D3A74"/>
    <w:rsid w:val="003D68B8"/>
    <w:rsid w:val="003E6996"/>
    <w:rsid w:val="003F1276"/>
    <w:rsid w:val="003F2F2A"/>
    <w:rsid w:val="003F4C07"/>
    <w:rsid w:val="004053B5"/>
    <w:rsid w:val="00407C18"/>
    <w:rsid w:val="004113E4"/>
    <w:rsid w:val="004259F2"/>
    <w:rsid w:val="00425CD9"/>
    <w:rsid w:val="0045194C"/>
    <w:rsid w:val="00462782"/>
    <w:rsid w:val="00467773"/>
    <w:rsid w:val="0047297D"/>
    <w:rsid w:val="00477044"/>
    <w:rsid w:val="004817FA"/>
    <w:rsid w:val="00481FF5"/>
    <w:rsid w:val="00487A4D"/>
    <w:rsid w:val="004A2CF0"/>
    <w:rsid w:val="004B45FD"/>
    <w:rsid w:val="004C0D28"/>
    <w:rsid w:val="004C5122"/>
    <w:rsid w:val="004D02F2"/>
    <w:rsid w:val="004D1B99"/>
    <w:rsid w:val="004E443F"/>
    <w:rsid w:val="004E64FC"/>
    <w:rsid w:val="004F3737"/>
    <w:rsid w:val="004F5B77"/>
    <w:rsid w:val="0050362D"/>
    <w:rsid w:val="00505E6B"/>
    <w:rsid w:val="005132CB"/>
    <w:rsid w:val="00516118"/>
    <w:rsid w:val="005315CF"/>
    <w:rsid w:val="005529A1"/>
    <w:rsid w:val="0055473B"/>
    <w:rsid w:val="005559C5"/>
    <w:rsid w:val="00560ABD"/>
    <w:rsid w:val="00560AF8"/>
    <w:rsid w:val="0056281D"/>
    <w:rsid w:val="00571283"/>
    <w:rsid w:val="00576A64"/>
    <w:rsid w:val="00584FC7"/>
    <w:rsid w:val="0058659B"/>
    <w:rsid w:val="00590A93"/>
    <w:rsid w:val="00596A99"/>
    <w:rsid w:val="005A1BC3"/>
    <w:rsid w:val="005A33D8"/>
    <w:rsid w:val="005A3FE2"/>
    <w:rsid w:val="005B3E19"/>
    <w:rsid w:val="005C2032"/>
    <w:rsid w:val="005D2952"/>
    <w:rsid w:val="005E3FB2"/>
    <w:rsid w:val="005E7D1A"/>
    <w:rsid w:val="005F12DA"/>
    <w:rsid w:val="005F2D9B"/>
    <w:rsid w:val="005F4A7B"/>
    <w:rsid w:val="005F6D94"/>
    <w:rsid w:val="00601792"/>
    <w:rsid w:val="00622A4C"/>
    <w:rsid w:val="00625B61"/>
    <w:rsid w:val="006359A3"/>
    <w:rsid w:val="00636AD1"/>
    <w:rsid w:val="0064794B"/>
    <w:rsid w:val="00652D4D"/>
    <w:rsid w:val="00662BC9"/>
    <w:rsid w:val="00664CD2"/>
    <w:rsid w:val="0067643B"/>
    <w:rsid w:val="00677CCA"/>
    <w:rsid w:val="00691536"/>
    <w:rsid w:val="006A5AAD"/>
    <w:rsid w:val="006A6889"/>
    <w:rsid w:val="006B04DC"/>
    <w:rsid w:val="006C1FE8"/>
    <w:rsid w:val="006D060B"/>
    <w:rsid w:val="006D250B"/>
    <w:rsid w:val="006D3BD4"/>
    <w:rsid w:val="006D60CB"/>
    <w:rsid w:val="006D7D5D"/>
    <w:rsid w:val="006E0AD7"/>
    <w:rsid w:val="006E3075"/>
    <w:rsid w:val="006E5359"/>
    <w:rsid w:val="0070251E"/>
    <w:rsid w:val="0071173C"/>
    <w:rsid w:val="00711F11"/>
    <w:rsid w:val="00714968"/>
    <w:rsid w:val="007226C6"/>
    <w:rsid w:val="00723CE2"/>
    <w:rsid w:val="00730E0E"/>
    <w:rsid w:val="00736ED0"/>
    <w:rsid w:val="007404F5"/>
    <w:rsid w:val="00746E26"/>
    <w:rsid w:val="00754B60"/>
    <w:rsid w:val="0075614B"/>
    <w:rsid w:val="00757EDA"/>
    <w:rsid w:val="0076041C"/>
    <w:rsid w:val="00761C67"/>
    <w:rsid w:val="00775664"/>
    <w:rsid w:val="0078176F"/>
    <w:rsid w:val="00782C7B"/>
    <w:rsid w:val="007858F0"/>
    <w:rsid w:val="007979D8"/>
    <w:rsid w:val="007A4735"/>
    <w:rsid w:val="007C2637"/>
    <w:rsid w:val="007C2F8B"/>
    <w:rsid w:val="007C7125"/>
    <w:rsid w:val="007E1959"/>
    <w:rsid w:val="007E47F3"/>
    <w:rsid w:val="007E740B"/>
    <w:rsid w:val="007F3B6D"/>
    <w:rsid w:val="00817AE6"/>
    <w:rsid w:val="00821BF9"/>
    <w:rsid w:val="00832FF3"/>
    <w:rsid w:val="00835766"/>
    <w:rsid w:val="00861F7C"/>
    <w:rsid w:val="00863120"/>
    <w:rsid w:val="00866379"/>
    <w:rsid w:val="00882A8A"/>
    <w:rsid w:val="00897511"/>
    <w:rsid w:val="008A2455"/>
    <w:rsid w:val="008B33B1"/>
    <w:rsid w:val="008B447C"/>
    <w:rsid w:val="008B616C"/>
    <w:rsid w:val="008C4E4B"/>
    <w:rsid w:val="008C5E66"/>
    <w:rsid w:val="008C6C58"/>
    <w:rsid w:val="008D0901"/>
    <w:rsid w:val="008D4DDD"/>
    <w:rsid w:val="008E13E7"/>
    <w:rsid w:val="008E37AD"/>
    <w:rsid w:val="008E408B"/>
    <w:rsid w:val="008E7847"/>
    <w:rsid w:val="008F4DE9"/>
    <w:rsid w:val="009029FA"/>
    <w:rsid w:val="00913078"/>
    <w:rsid w:val="009161E2"/>
    <w:rsid w:val="009208BD"/>
    <w:rsid w:val="00920F2A"/>
    <w:rsid w:val="00932150"/>
    <w:rsid w:val="00943959"/>
    <w:rsid w:val="0094749B"/>
    <w:rsid w:val="00954F81"/>
    <w:rsid w:val="00963549"/>
    <w:rsid w:val="00963DB7"/>
    <w:rsid w:val="009714CC"/>
    <w:rsid w:val="0097175B"/>
    <w:rsid w:val="00971B01"/>
    <w:rsid w:val="009836C6"/>
    <w:rsid w:val="00984309"/>
    <w:rsid w:val="00992DBD"/>
    <w:rsid w:val="00994BCB"/>
    <w:rsid w:val="00996FF2"/>
    <w:rsid w:val="009A0D40"/>
    <w:rsid w:val="009A394B"/>
    <w:rsid w:val="009B78E8"/>
    <w:rsid w:val="009C1A3F"/>
    <w:rsid w:val="009C60F0"/>
    <w:rsid w:val="009D0226"/>
    <w:rsid w:val="009D64D9"/>
    <w:rsid w:val="009D6C20"/>
    <w:rsid w:val="009E660D"/>
    <w:rsid w:val="009E6ECB"/>
    <w:rsid w:val="009F3CB1"/>
    <w:rsid w:val="009F7FBC"/>
    <w:rsid w:val="00A1020D"/>
    <w:rsid w:val="00A13DEA"/>
    <w:rsid w:val="00A1747E"/>
    <w:rsid w:val="00A250D4"/>
    <w:rsid w:val="00A26A86"/>
    <w:rsid w:val="00A51DED"/>
    <w:rsid w:val="00A53194"/>
    <w:rsid w:val="00A576F2"/>
    <w:rsid w:val="00A957A1"/>
    <w:rsid w:val="00AA2EBF"/>
    <w:rsid w:val="00AB18A7"/>
    <w:rsid w:val="00AC48B3"/>
    <w:rsid w:val="00AD25E5"/>
    <w:rsid w:val="00AE2073"/>
    <w:rsid w:val="00AF72CB"/>
    <w:rsid w:val="00B0094C"/>
    <w:rsid w:val="00B152E8"/>
    <w:rsid w:val="00B179E8"/>
    <w:rsid w:val="00B25EF8"/>
    <w:rsid w:val="00B27761"/>
    <w:rsid w:val="00B42174"/>
    <w:rsid w:val="00B479E1"/>
    <w:rsid w:val="00B66614"/>
    <w:rsid w:val="00B72F53"/>
    <w:rsid w:val="00B81FC7"/>
    <w:rsid w:val="00B834CD"/>
    <w:rsid w:val="00B86E88"/>
    <w:rsid w:val="00B97A84"/>
    <w:rsid w:val="00BA047F"/>
    <w:rsid w:val="00BB02BA"/>
    <w:rsid w:val="00BB2D4C"/>
    <w:rsid w:val="00BC3157"/>
    <w:rsid w:val="00BC5CC9"/>
    <w:rsid w:val="00BC728B"/>
    <w:rsid w:val="00BC7ECE"/>
    <w:rsid w:val="00BD058B"/>
    <w:rsid w:val="00BE19DB"/>
    <w:rsid w:val="00BF2344"/>
    <w:rsid w:val="00BF348C"/>
    <w:rsid w:val="00BF5A50"/>
    <w:rsid w:val="00BF6794"/>
    <w:rsid w:val="00C02BF0"/>
    <w:rsid w:val="00C0378C"/>
    <w:rsid w:val="00C150DD"/>
    <w:rsid w:val="00C3393B"/>
    <w:rsid w:val="00C36647"/>
    <w:rsid w:val="00C37454"/>
    <w:rsid w:val="00C43C67"/>
    <w:rsid w:val="00C53DC9"/>
    <w:rsid w:val="00C54D58"/>
    <w:rsid w:val="00C55AD2"/>
    <w:rsid w:val="00C74BE0"/>
    <w:rsid w:val="00C91019"/>
    <w:rsid w:val="00C917DE"/>
    <w:rsid w:val="00CA633E"/>
    <w:rsid w:val="00CB3672"/>
    <w:rsid w:val="00CB68CB"/>
    <w:rsid w:val="00CC206B"/>
    <w:rsid w:val="00CC419C"/>
    <w:rsid w:val="00CD6109"/>
    <w:rsid w:val="00CE0378"/>
    <w:rsid w:val="00CF3B88"/>
    <w:rsid w:val="00CF4556"/>
    <w:rsid w:val="00D05F2C"/>
    <w:rsid w:val="00D06CCE"/>
    <w:rsid w:val="00D21358"/>
    <w:rsid w:val="00D21CEC"/>
    <w:rsid w:val="00D30F28"/>
    <w:rsid w:val="00D36BFC"/>
    <w:rsid w:val="00D40FA8"/>
    <w:rsid w:val="00D56293"/>
    <w:rsid w:val="00D60CF6"/>
    <w:rsid w:val="00D733A7"/>
    <w:rsid w:val="00D7528E"/>
    <w:rsid w:val="00D80D46"/>
    <w:rsid w:val="00D872FC"/>
    <w:rsid w:val="00D90662"/>
    <w:rsid w:val="00D919FE"/>
    <w:rsid w:val="00D92814"/>
    <w:rsid w:val="00D937F8"/>
    <w:rsid w:val="00DA5B6D"/>
    <w:rsid w:val="00DE478A"/>
    <w:rsid w:val="00DE65E6"/>
    <w:rsid w:val="00DF2AEB"/>
    <w:rsid w:val="00DF7C1E"/>
    <w:rsid w:val="00E104FF"/>
    <w:rsid w:val="00E205C9"/>
    <w:rsid w:val="00E23FFE"/>
    <w:rsid w:val="00E2681D"/>
    <w:rsid w:val="00E4786B"/>
    <w:rsid w:val="00E66373"/>
    <w:rsid w:val="00E73CE2"/>
    <w:rsid w:val="00E8409E"/>
    <w:rsid w:val="00E9315B"/>
    <w:rsid w:val="00E95929"/>
    <w:rsid w:val="00EA2C1F"/>
    <w:rsid w:val="00EA712D"/>
    <w:rsid w:val="00EB22EA"/>
    <w:rsid w:val="00EC389E"/>
    <w:rsid w:val="00EC7A4D"/>
    <w:rsid w:val="00ED4630"/>
    <w:rsid w:val="00EE0EA4"/>
    <w:rsid w:val="00EE64B8"/>
    <w:rsid w:val="00EE6B2E"/>
    <w:rsid w:val="00EF4152"/>
    <w:rsid w:val="00EF6A44"/>
    <w:rsid w:val="00F16833"/>
    <w:rsid w:val="00F3183C"/>
    <w:rsid w:val="00F33301"/>
    <w:rsid w:val="00F37BE7"/>
    <w:rsid w:val="00F5450B"/>
    <w:rsid w:val="00F65A7B"/>
    <w:rsid w:val="00F73598"/>
    <w:rsid w:val="00F73D7A"/>
    <w:rsid w:val="00F76C06"/>
    <w:rsid w:val="00F900E8"/>
    <w:rsid w:val="00F90B1B"/>
    <w:rsid w:val="00F97761"/>
    <w:rsid w:val="00FB6BB0"/>
    <w:rsid w:val="00FD5408"/>
    <w:rsid w:val="00FD5E44"/>
    <w:rsid w:val="00FE5B1A"/>
    <w:rsid w:val="00FF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3C7CFDA7"/>
  <w15:chartTrackingRefBased/>
  <w15:docId w15:val="{9A0279C9-7511-479F-9328-E716A11BF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A4C"/>
    <w:pPr>
      <w:spacing w:before="120" w:after="120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2A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203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4BFA"/>
    <w:pPr>
      <w:keepNext/>
      <w:keepLines/>
      <w:spacing w:before="240" w:after="40"/>
      <w:outlineLvl w:val="1"/>
    </w:pPr>
    <w:rPr>
      <w:rFonts w:asciiTheme="majorHAnsi" w:eastAsiaTheme="majorEastAsia" w:hAnsiTheme="majorHAnsi" w:cstheme="majorBidi"/>
      <w:caps/>
      <w:color w:val="002C4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04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827F" w:themeColor="accent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18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83C"/>
  </w:style>
  <w:style w:type="paragraph" w:styleId="Footer">
    <w:name w:val="footer"/>
    <w:basedOn w:val="Normal"/>
    <w:link w:val="FooterChar"/>
    <w:uiPriority w:val="99"/>
    <w:unhideWhenUsed/>
    <w:rsid w:val="00F318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83C"/>
  </w:style>
  <w:style w:type="paragraph" w:customStyle="1" w:styleId="SecurityClassificationHeader">
    <w:name w:val="Security Classification Header"/>
    <w:link w:val="SecurityClassificationHeaderChar"/>
    <w:rsid w:val="00F3183C"/>
    <w:pPr>
      <w:spacing w:before="240" w:after="60"/>
      <w:jc w:val="center"/>
    </w:pPr>
    <w:rPr>
      <w:rFonts w:ascii="Calibri" w:hAnsi="Calibri" w:cs="Calibri"/>
      <w:b/>
      <w:caps/>
      <w:sz w:val="24"/>
    </w:rPr>
  </w:style>
  <w:style w:type="character" w:customStyle="1" w:styleId="SecurityClassificationHeaderChar">
    <w:name w:val="Security Classification Header Char"/>
    <w:basedOn w:val="HeaderChar"/>
    <w:link w:val="SecurityClassificationHeader"/>
    <w:rsid w:val="00F3183C"/>
    <w:rPr>
      <w:rFonts w:ascii="Calibri" w:hAnsi="Calibri" w:cs="Calibri"/>
      <w:b/>
      <w:caps/>
      <w:sz w:val="24"/>
    </w:rPr>
  </w:style>
  <w:style w:type="paragraph" w:customStyle="1" w:styleId="SecurityClassificationFooter">
    <w:name w:val="Security Classification Footer"/>
    <w:link w:val="SecurityClassificationFooterChar"/>
    <w:rsid w:val="00F3183C"/>
    <w:pPr>
      <w:spacing w:before="60" w:after="240"/>
      <w:jc w:val="center"/>
    </w:pPr>
    <w:rPr>
      <w:rFonts w:ascii="Calibri" w:hAnsi="Calibri" w:cs="Calibri"/>
      <w:b/>
      <w:caps/>
      <w:sz w:val="24"/>
    </w:rPr>
  </w:style>
  <w:style w:type="character" w:customStyle="1" w:styleId="SecurityClassificationFooterChar">
    <w:name w:val="Security Classification Footer Char"/>
    <w:basedOn w:val="HeaderChar"/>
    <w:link w:val="SecurityClassificationFooter"/>
    <w:rsid w:val="00F3183C"/>
    <w:rPr>
      <w:rFonts w:ascii="Calibri" w:hAnsi="Calibri" w:cs="Calibri"/>
      <w:b/>
      <w:caps/>
      <w:sz w:val="24"/>
    </w:rPr>
  </w:style>
  <w:style w:type="paragraph" w:customStyle="1" w:styleId="DLMSecurityHeader">
    <w:name w:val="DLM Security Header"/>
    <w:link w:val="DLMSecurityHeaderChar"/>
    <w:rsid w:val="00F3183C"/>
    <w:pPr>
      <w:spacing w:before="60" w:after="240"/>
      <w:jc w:val="center"/>
    </w:pPr>
    <w:rPr>
      <w:rFonts w:ascii="Calibri" w:hAnsi="Calibri" w:cs="Calibri"/>
      <w:b/>
      <w:caps/>
      <w:sz w:val="24"/>
    </w:rPr>
  </w:style>
  <w:style w:type="character" w:customStyle="1" w:styleId="DLMSecurityHeaderChar">
    <w:name w:val="DLM Security Header Char"/>
    <w:basedOn w:val="HeaderChar"/>
    <w:link w:val="DLMSecurityHeader"/>
    <w:rsid w:val="00F3183C"/>
    <w:rPr>
      <w:rFonts w:ascii="Calibri" w:hAnsi="Calibri" w:cs="Calibri"/>
      <w:b/>
      <w:caps/>
      <w:sz w:val="24"/>
    </w:rPr>
  </w:style>
  <w:style w:type="paragraph" w:customStyle="1" w:styleId="DLMSecurityFooter">
    <w:name w:val="DLM Security Footer"/>
    <w:link w:val="DLMSecurityFooterChar"/>
    <w:rsid w:val="00F3183C"/>
    <w:pPr>
      <w:spacing w:before="240" w:after="60"/>
      <w:jc w:val="center"/>
    </w:pPr>
    <w:rPr>
      <w:rFonts w:ascii="Calibri" w:hAnsi="Calibri" w:cs="Calibri"/>
      <w:b/>
      <w:caps/>
      <w:sz w:val="24"/>
    </w:rPr>
  </w:style>
  <w:style w:type="character" w:customStyle="1" w:styleId="DLMSecurityFooterChar">
    <w:name w:val="DLM Security Footer Char"/>
    <w:basedOn w:val="HeaderChar"/>
    <w:link w:val="DLMSecurityFooter"/>
    <w:rsid w:val="00F3183C"/>
    <w:rPr>
      <w:rFonts w:ascii="Calibri" w:hAnsi="Calibri" w:cs="Calibri"/>
      <w:b/>
      <w:cap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02BF0"/>
    <w:pPr>
      <w:spacing w:before="0" w:after="0"/>
      <w:contextualSpacing/>
    </w:pPr>
    <w:rPr>
      <w:rFonts w:asciiTheme="majorHAnsi" w:eastAsiaTheme="majorEastAsia" w:hAnsiTheme="majorHAnsi" w:cstheme="majorBidi"/>
      <w:noProof/>
      <w:color w:val="FFFFFF" w:themeColor="background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2BF0"/>
    <w:rPr>
      <w:rFonts w:asciiTheme="majorHAnsi" w:eastAsiaTheme="majorEastAsia" w:hAnsiTheme="majorHAnsi" w:cstheme="majorBidi"/>
      <w:noProof/>
      <w:color w:val="FFFFFF" w:themeColor="background1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22A4C"/>
    <w:rPr>
      <w:rFonts w:asciiTheme="majorHAnsi" w:eastAsiaTheme="majorEastAsia" w:hAnsiTheme="majorHAnsi" w:cstheme="majorBidi"/>
      <w:color w:val="002035" w:themeColor="accent1" w:themeShade="BF"/>
      <w:sz w:val="32"/>
      <w:szCs w:val="32"/>
    </w:rPr>
  </w:style>
  <w:style w:type="table" w:styleId="TableGrid">
    <w:name w:val="Table Grid"/>
    <w:basedOn w:val="TableNormal"/>
    <w:rsid w:val="006B0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44BFA"/>
    <w:rPr>
      <w:rFonts w:asciiTheme="majorHAnsi" w:eastAsiaTheme="majorEastAsia" w:hAnsiTheme="majorHAnsi" w:cstheme="majorBidi"/>
      <w:caps/>
      <w:color w:val="002C47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B04DC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6B04DC"/>
    <w:rPr>
      <w:rFonts w:asciiTheme="majorHAnsi" w:eastAsiaTheme="majorEastAsia" w:hAnsiTheme="majorHAnsi" w:cstheme="majorBidi"/>
      <w:color w:val="00827F" w:themeColor="accent3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0813"/>
    <w:pPr>
      <w:numPr>
        <w:ilvl w:val="1"/>
      </w:numPr>
      <w:spacing w:after="160"/>
    </w:pPr>
    <w:rPr>
      <w:rFonts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70813"/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Introtext">
    <w:name w:val="Intro text"/>
    <w:basedOn w:val="Subtitle"/>
    <w:qFormat/>
    <w:rsid w:val="00370813"/>
    <w:rPr>
      <w:sz w:val="26"/>
      <w:szCs w:val="26"/>
    </w:rPr>
  </w:style>
  <w:style w:type="paragraph" w:customStyle="1" w:styleId="Boxheading">
    <w:name w:val="Box heading"/>
    <w:basedOn w:val="Normal"/>
    <w:qFormat/>
    <w:rsid w:val="00280F1A"/>
    <w:pPr>
      <w:spacing w:before="240"/>
    </w:pPr>
    <w:rPr>
      <w:b/>
      <w:color w:val="00827F" w:themeColor="accent3"/>
    </w:rPr>
  </w:style>
  <w:style w:type="paragraph" w:customStyle="1" w:styleId="Bullet">
    <w:name w:val="Bullet"/>
    <w:basedOn w:val="Normal"/>
    <w:link w:val="BulletChar"/>
    <w:rsid w:val="00F37BE7"/>
    <w:pPr>
      <w:numPr>
        <w:numId w:val="1"/>
      </w:numPr>
    </w:pPr>
    <w:rPr>
      <w:rFonts w:eastAsiaTheme="majorEastAsia" w:cstheme="majorBidi"/>
      <w:color w:val="00827F" w:themeColor="accent3"/>
      <w:szCs w:val="24"/>
    </w:rPr>
  </w:style>
  <w:style w:type="character" w:customStyle="1" w:styleId="BulletChar">
    <w:name w:val="Bullet Char"/>
    <w:basedOn w:val="Heading3Char"/>
    <w:link w:val="Bullet"/>
    <w:rsid w:val="00F37BE7"/>
    <w:rPr>
      <w:rFonts w:asciiTheme="minorHAnsi" w:eastAsiaTheme="majorEastAsia" w:hAnsiTheme="minorHAnsi" w:cstheme="majorBidi"/>
      <w:color w:val="00827F" w:themeColor="accent3"/>
      <w:sz w:val="22"/>
      <w:szCs w:val="24"/>
    </w:rPr>
  </w:style>
  <w:style w:type="paragraph" w:customStyle="1" w:styleId="Dash">
    <w:name w:val="Dash"/>
    <w:basedOn w:val="Normal"/>
    <w:link w:val="DashChar"/>
    <w:rsid w:val="00F37BE7"/>
    <w:pPr>
      <w:numPr>
        <w:ilvl w:val="1"/>
        <w:numId w:val="1"/>
      </w:numPr>
    </w:pPr>
    <w:rPr>
      <w:rFonts w:eastAsiaTheme="majorEastAsia" w:cstheme="majorBidi"/>
      <w:color w:val="00827F" w:themeColor="accent3"/>
      <w:szCs w:val="24"/>
    </w:rPr>
  </w:style>
  <w:style w:type="character" w:customStyle="1" w:styleId="DashChar">
    <w:name w:val="Dash Char"/>
    <w:basedOn w:val="Heading3Char"/>
    <w:link w:val="Dash"/>
    <w:rsid w:val="00F37BE7"/>
    <w:rPr>
      <w:rFonts w:asciiTheme="minorHAnsi" w:eastAsiaTheme="majorEastAsia" w:hAnsiTheme="minorHAnsi" w:cstheme="majorBidi"/>
      <w:color w:val="00827F" w:themeColor="accent3"/>
      <w:sz w:val="22"/>
      <w:szCs w:val="24"/>
    </w:rPr>
  </w:style>
  <w:style w:type="paragraph" w:customStyle="1" w:styleId="DoubleDot">
    <w:name w:val="Double Dot"/>
    <w:basedOn w:val="Normal"/>
    <w:link w:val="DoubleDotChar"/>
    <w:rsid w:val="00F37BE7"/>
    <w:pPr>
      <w:numPr>
        <w:ilvl w:val="2"/>
        <w:numId w:val="1"/>
      </w:numPr>
    </w:pPr>
    <w:rPr>
      <w:rFonts w:eastAsiaTheme="majorEastAsia" w:cstheme="majorBidi"/>
      <w:color w:val="00827F" w:themeColor="accent3"/>
      <w:szCs w:val="24"/>
    </w:rPr>
  </w:style>
  <w:style w:type="character" w:customStyle="1" w:styleId="DoubleDotChar">
    <w:name w:val="Double Dot Char"/>
    <w:basedOn w:val="Heading3Char"/>
    <w:link w:val="DoubleDot"/>
    <w:rsid w:val="00F37BE7"/>
    <w:rPr>
      <w:rFonts w:asciiTheme="minorHAnsi" w:eastAsiaTheme="majorEastAsia" w:hAnsiTheme="minorHAnsi" w:cstheme="majorBidi"/>
      <w:color w:val="00827F" w:themeColor="accent3"/>
      <w:sz w:val="22"/>
      <w:szCs w:val="24"/>
    </w:rPr>
  </w:style>
  <w:style w:type="paragraph" w:customStyle="1" w:styleId="OutlineNumbered1">
    <w:name w:val="Outline Numbered 1"/>
    <w:basedOn w:val="Normal"/>
    <w:link w:val="OutlineNumbered1Char"/>
    <w:rsid w:val="002B32F7"/>
    <w:pPr>
      <w:numPr>
        <w:numId w:val="3"/>
      </w:numPr>
      <w:spacing w:before="0"/>
    </w:pPr>
    <w:rPr>
      <w:rFonts w:ascii="Calibri" w:eastAsia="Times New Roman" w:hAnsi="Calibri"/>
      <w:szCs w:val="24"/>
      <w:lang w:eastAsia="en-AU"/>
    </w:rPr>
  </w:style>
  <w:style w:type="character" w:customStyle="1" w:styleId="OutlineNumbered1Char">
    <w:name w:val="Outline Numbered 1 Char"/>
    <w:basedOn w:val="DefaultParagraphFont"/>
    <w:link w:val="OutlineNumbered1"/>
    <w:rsid w:val="002B32F7"/>
    <w:rPr>
      <w:rFonts w:ascii="Calibri" w:eastAsia="Times New Roman" w:hAnsi="Calibri"/>
      <w:sz w:val="22"/>
      <w:szCs w:val="24"/>
      <w:lang w:eastAsia="en-AU"/>
    </w:rPr>
  </w:style>
  <w:style w:type="paragraph" w:customStyle="1" w:styleId="OutlineNumbered2">
    <w:name w:val="Outline Numbered 2"/>
    <w:basedOn w:val="Normal"/>
    <w:rsid w:val="002B32F7"/>
    <w:pPr>
      <w:numPr>
        <w:ilvl w:val="1"/>
        <w:numId w:val="3"/>
      </w:numPr>
      <w:spacing w:before="0"/>
    </w:pPr>
    <w:rPr>
      <w:rFonts w:ascii="Calibri" w:eastAsia="Times New Roman" w:hAnsi="Calibri"/>
      <w:szCs w:val="24"/>
      <w:lang w:eastAsia="en-AU"/>
    </w:rPr>
  </w:style>
  <w:style w:type="paragraph" w:customStyle="1" w:styleId="OutlineNumbered3">
    <w:name w:val="Outline Numbered 3"/>
    <w:basedOn w:val="Normal"/>
    <w:rsid w:val="002B32F7"/>
    <w:pPr>
      <w:numPr>
        <w:ilvl w:val="2"/>
        <w:numId w:val="3"/>
      </w:numPr>
      <w:spacing w:before="0"/>
    </w:pPr>
    <w:rPr>
      <w:rFonts w:ascii="Calibri" w:eastAsia="Times New Roman" w:hAnsi="Calibri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723CE2"/>
    <w:rPr>
      <w:color w:val="00827F" w:themeColor="accent3"/>
      <w:u w:val="none"/>
    </w:rPr>
  </w:style>
  <w:style w:type="paragraph" w:styleId="ListParagraph">
    <w:name w:val="List Paragraph"/>
    <w:basedOn w:val="Normal"/>
    <w:uiPriority w:val="34"/>
    <w:qFormat/>
    <w:rsid w:val="00AE2073"/>
    <w:pPr>
      <w:spacing w:before="0"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73C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CE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3CE2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C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CE2"/>
    <w:rPr>
      <w:rFonts w:asciiTheme="minorHAnsi" w:hAnsiTheme="minorHAns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CE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CE2"/>
    <w:rPr>
      <w:rFonts w:ascii="Segoe UI" w:hAnsi="Segoe UI" w:cs="Segoe UI"/>
      <w:sz w:val="18"/>
      <w:szCs w:val="18"/>
    </w:rPr>
  </w:style>
  <w:style w:type="table" w:styleId="ListTable3-Accent3">
    <w:name w:val="List Table 3 Accent 3"/>
    <w:basedOn w:val="TableNormal"/>
    <w:uiPriority w:val="48"/>
    <w:rsid w:val="00636AD1"/>
    <w:tblPr>
      <w:tblStyleRowBandSize w:val="1"/>
      <w:tblStyleColBandSize w:val="1"/>
      <w:tblBorders>
        <w:top w:val="single" w:sz="4" w:space="0" w:color="00827F" w:themeColor="accent3"/>
        <w:left w:val="single" w:sz="4" w:space="0" w:color="00827F" w:themeColor="accent3"/>
        <w:bottom w:val="single" w:sz="4" w:space="0" w:color="00827F" w:themeColor="accent3"/>
        <w:right w:val="single" w:sz="4" w:space="0" w:color="00827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827F" w:themeFill="accent3"/>
      </w:tcPr>
    </w:tblStylePr>
    <w:tblStylePr w:type="lastRow">
      <w:rPr>
        <w:b/>
        <w:bCs/>
      </w:rPr>
      <w:tblPr/>
      <w:tcPr>
        <w:tcBorders>
          <w:top w:val="double" w:sz="4" w:space="0" w:color="00827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827F" w:themeColor="accent3"/>
          <w:right w:val="single" w:sz="4" w:space="0" w:color="00827F" w:themeColor="accent3"/>
        </w:tcBorders>
      </w:tcPr>
    </w:tblStylePr>
    <w:tblStylePr w:type="band1Horz">
      <w:tblPr/>
      <w:tcPr>
        <w:tcBorders>
          <w:top w:val="single" w:sz="4" w:space="0" w:color="00827F" w:themeColor="accent3"/>
          <w:bottom w:val="single" w:sz="4" w:space="0" w:color="00827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827F" w:themeColor="accent3"/>
          <w:left w:val="nil"/>
        </w:tcBorders>
      </w:tcPr>
    </w:tblStylePr>
    <w:tblStylePr w:type="swCell">
      <w:tblPr/>
      <w:tcPr>
        <w:tcBorders>
          <w:top w:val="double" w:sz="4" w:space="0" w:color="00827F" w:themeColor="accent3"/>
          <w:right w:val="nil"/>
        </w:tcBorders>
      </w:tcPr>
    </w:tblStylePr>
  </w:style>
  <w:style w:type="paragraph" w:styleId="NoSpacing">
    <w:name w:val="No Spacing"/>
    <w:uiPriority w:val="1"/>
    <w:qFormat/>
    <w:rsid w:val="001D2155"/>
    <w:rPr>
      <w:rFonts w:asciiTheme="minorHAnsi" w:hAnsiTheme="minorHAnsi"/>
      <w:sz w:val="22"/>
    </w:rPr>
  </w:style>
  <w:style w:type="paragraph" w:styleId="Revision">
    <w:name w:val="Revision"/>
    <w:hidden/>
    <w:uiPriority w:val="99"/>
    <w:semiHidden/>
    <w:rsid w:val="00D733A7"/>
    <w:rPr>
      <w:rFonts w:asciiTheme="minorHAnsi" w:hAnsiTheme="minorHAnsi"/>
      <w:sz w:val="22"/>
    </w:rPr>
  </w:style>
  <w:style w:type="paragraph" w:styleId="NormalWeb">
    <w:name w:val="Normal (Web)"/>
    <w:basedOn w:val="Normal"/>
    <w:uiPriority w:val="99"/>
    <w:semiHidden/>
    <w:unhideWhenUsed/>
    <w:rsid w:val="0071173C"/>
    <w:rPr>
      <w:rFonts w:ascii="Times New Roman" w:hAnsi="Times New Roman"/>
      <w:sz w:val="24"/>
      <w:szCs w:val="24"/>
    </w:rPr>
  </w:style>
  <w:style w:type="paragraph" w:customStyle="1" w:styleId="Tablecolumnheading">
    <w:name w:val="Table column heading"/>
    <w:basedOn w:val="Heading2"/>
    <w:qFormat/>
    <w:rsid w:val="001333F4"/>
    <w:pPr>
      <w:spacing w:before="120"/>
      <w:jc w:val="center"/>
    </w:pPr>
    <w:rPr>
      <w:rFonts w:asciiTheme="minorHAnsi" w:hAnsiTheme="minorHAnsi"/>
      <w:b/>
      <w:caps w:val="0"/>
      <w:color w:val="FFFFFF" w:themeColor="background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dese.gov.au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business.gov.a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treasury.gov.au/coronavirus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australianapprenticeships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co\AppData\Local\Microsoft\Windows\Temporary%20Internet%20Files\Content.Outlook\ZY1GUS40\COVID-19%20A4%20fact%20sheet_.dotx" TargetMode="External"/></Relationships>
</file>

<file path=word/theme/theme1.xml><?xml version="1.0" encoding="utf-8"?>
<a:theme xmlns:a="http://schemas.openxmlformats.org/drawingml/2006/main" name="Office Theme">
  <a:themeElements>
    <a:clrScheme name="Treasury PowerPoint">
      <a:dk1>
        <a:sysClr val="windowText" lastClr="000000"/>
      </a:dk1>
      <a:lt1>
        <a:sysClr val="window" lastClr="FFFFFF"/>
      </a:lt1>
      <a:dk2>
        <a:srgbClr val="F06252"/>
      </a:dk2>
      <a:lt2>
        <a:srgbClr val="E2E0CB"/>
      </a:lt2>
      <a:accent1>
        <a:srgbClr val="002C47"/>
      </a:accent1>
      <a:accent2>
        <a:srgbClr val="3A6FAF"/>
      </a:accent2>
      <a:accent3>
        <a:srgbClr val="00827F"/>
      </a:accent3>
      <a:accent4>
        <a:srgbClr val="F7901E"/>
      </a:accent4>
      <a:accent5>
        <a:srgbClr val="00ABBD"/>
      </a:accent5>
      <a:accent6>
        <a:srgbClr val="844D9E"/>
      </a:accent6>
      <a:hlink>
        <a:srgbClr val="3A6FAF"/>
      </a:hlink>
      <a:folHlink>
        <a:srgbClr val="E61E2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B0B2B725CB133046A824148AFBF7588D00FB86DB676D39E9448B5E55157D1D7E54" ma:contentTypeVersion="10493" ma:contentTypeDescription="" ma:contentTypeScope="" ma:versionID="75245ced693398202b441a6ed646399a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897d5b50-e2b5-48d2-af00-621a7a6336c9" xmlns:ns4="aed5e396-b62e-438f-bd6c-6d53d54e5cfc" targetNamespace="http://schemas.microsoft.com/office/2006/metadata/properties" ma:root="true" ma:fieldsID="bc613a9a1560a0ef8e3a5aede8b7a78e" ns1:_="" ns2:_="" ns3:_="" ns4:_="">
    <xsd:import namespace="http://schemas.microsoft.com/sharepoint/v3"/>
    <xsd:import namespace="0f563589-9cf9-4143-b1eb-fb0534803d38"/>
    <xsd:import namespace="897d5b50-e2b5-48d2-af00-621a7a6336c9"/>
    <xsd:import namespace="aed5e396-b62e-438f-bd6c-6d53d54e5c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2:TaxKeywordTaxHTField" minOccurs="0"/>
                <xsd:element ref="ns1:_dlc_Exempt" minOccurs="0"/>
                <xsd:element ref="ns4:To_x002f_From" minOccurs="0"/>
                <xsd:element ref="ns4:Work_x0020_stream" minOccurs="0"/>
                <xsd:element ref="ns3:e3aa2faa4c2c4fc69aa7703a0b9bba9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8ff8e001-7d25-479d-8b62-8006dc450e27}" ma:internalName="TaxCatchAll" ma:showField="CatchAllData" ma:web="897d5b50-e2b5-48d2-af00-621a7a6336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8ff8e001-7d25-479d-8b62-8006dc450e27}" ma:internalName="TaxCatchAllLabel" ma:readOnly="true" ma:showField="CatchAllDataLabel" ma:web="897d5b50-e2b5-48d2-af00-621a7a6336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5" nillable="true" ma:taxonomy="true" ma:internalName="TaxKeywordTaxHTField" ma:taxonomyFieldName="TaxKeyword" ma:displayName="Document Tags" ma:readOnly="false" ma:fieldId="{23f27201-bee3-471e-b2e7-b64fd8b7ca38}" ma:taxonomyMulti="true" ma:sspId="77b7a547-5880-464f-83f8-cefe583c3af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d5b50-e2b5-48d2-af00-621a7a6336c9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1" nillable="true" ma:taxonomy="true" ma:internalName="lb508a4dc5e84436a0fe496b536466aa" ma:taxonomyFieldName="TSYRecordClass" ma:displayName="Record Class" ma:readOnly="false" ma:default="" ma:fieldId="{5b508a4d-c5e8-4436-a0fe-496b536466aa}" ma:sspId="77b7a547-5880-464f-83f8-cefe583c3af4" ma:termSetId="8c8a1de6-dea5-4e66-bd5a-b7b3daae0f37" ma:anchorId="72a33569-3b59-4b38-9058-021557895d12" ma:open="false" ma:isKeyword="false">
      <xsd:complexType>
        <xsd:sequence>
          <xsd:element ref="pc:Terms" minOccurs="0" maxOccurs="1"/>
        </xsd:sequence>
      </xsd:complexType>
    </xsd:element>
    <xsd:element name="e3aa2faa4c2c4fc69aa7703a0b9bba99" ma:index="20" nillable="true" ma:taxonomy="true" ma:internalName="e3aa2faa4c2c4fc69aa7703a0b9bba99" ma:taxonomyFieldName="TSYTopic" ma:displayName="TSYTopic" ma:default="" ma:fieldId="{e3aa2faa-4c2c-4fc6-9aa7-703a0b9bba99}" ma:sspId="77b7a547-5880-464f-83f8-cefe583c3af4" ma:termSetId="5ad9bdc0-881e-4a06-8325-cf02134be2c9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5e396-b62e-438f-bd6c-6d53d54e5cfc" elementFormDefault="qualified">
    <xsd:import namespace="http://schemas.microsoft.com/office/2006/documentManagement/types"/>
    <xsd:import namespace="http://schemas.microsoft.com/office/infopath/2007/PartnerControls"/>
    <xsd:element name="To_x002f_From" ma:index="18" nillable="true" ma:displayName="To/From" ma:format="Dropdown" ma:internalName="To_x002F_From">
      <xsd:simpleType>
        <xsd:restriction base="dms:Choice">
          <xsd:enumeration value="Internal working"/>
          <xsd:enumeration value="To: Internal"/>
          <xsd:enumeration value="To: Treasurer/PMO"/>
          <xsd:enumeration value="From: Internal"/>
          <xsd:enumeration value="From: External"/>
        </xsd:restriction>
      </xsd:simpleType>
    </xsd:element>
    <xsd:element name="Work_x0020_stream" ma:index="19" nillable="true" ma:displayName="Work stream" ma:format="Dropdown" ma:internalName="Work_x0020_stream">
      <xsd:simpleType>
        <xsd:restriction base="dms:Choice">
          <xsd:enumeration value="Daily updates"/>
          <xsd:enumeration value="Other briefing"/>
          <xsd:enumeration value="Response package"/>
          <xsd:enumeration value="External information/reports"/>
          <xsd:enumeration value="Communications"/>
          <xsd:enumeration value="Correspondenc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897d5b50-e2b5-48d2-af00-621a7a6336c9">
      <Terms xmlns="http://schemas.microsoft.com/office/infopath/2007/PartnerControls"/>
    </lb508a4dc5e84436a0fe496b536466aa>
    <TaxCatchAll xmlns="0f563589-9cf9-4143-b1eb-fb0534803d38">
      <Value>184</Value>
    </TaxCatchAll>
    <TaxKeywordTaxHTField xmlns="0f563589-9cf9-4143-b1eb-fb0534803d38">
      <Terms xmlns="http://schemas.microsoft.com/office/infopath/2007/PartnerControls"/>
    </TaxKeywordTaxHTField>
    <_dlc_DocId xmlns="0f563589-9cf9-4143-b1eb-fb0534803d38">20205JXR4F37-906865816-470</_dlc_DocId>
    <_dlc_DocIdUrl xmlns="0f563589-9cf9-4143-b1eb-fb0534803d38">
      <Url>http://tweb/sites/treasury/cvirus/_layouts/15/DocIdRedir.aspx?ID=20205JXR4F37-906865816-470</Url>
      <Description>20205JXR4F37-906865816-470</Description>
    </_dlc_DocIdUrl>
    <e3aa2faa4c2c4fc69aa7703a0b9bba99 xmlns="897d5b50-e2b5-48d2-af00-621a7a6336c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COVID-19</TermName>
          <TermId xmlns="http://schemas.microsoft.com/office/infopath/2007/PartnerControls">cc09a21e-f925-49e1-9a69-f2288a9e1b97</TermId>
        </TermInfo>
      </Terms>
    </e3aa2faa4c2c4fc69aa7703a0b9bba99>
    <To_x002f_From xmlns="aed5e396-b62e-438f-bd6c-6d53d54e5cfc" xsi:nil="true"/>
    <Work_x0020_stream xmlns="aed5e396-b62e-438f-bd6c-6d53d54e5cf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Treasury Document Audit Policy</p:Name>
  <p:Description/>
  <p:Statement/>
  <p:PolicyItems>
    <p:PolicyItem featureId="Microsoft.Office.RecordsManagement.PolicyFeatures.PolicyAudit" staticId="0x010100B0B2B725CB133046A824148AFBF7588D|1757814118" UniqueId="ae7ec984-e6b3-49e5-9a50-daf04c2d54d3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26226-D89B-4A3A-AD8B-9859BB2088D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675868F-0BE3-4199-8F15-CAC5ED0B3A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897d5b50-e2b5-48d2-af00-621a7a6336c9"/>
    <ds:schemaRef ds:uri="aed5e396-b62e-438f-bd6c-6d53d54e5c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61617B-8732-4EDA-82B0-9C402B6CEBC6}">
  <ds:schemaRefs>
    <ds:schemaRef ds:uri="http://schemas.microsoft.com/office/2006/documentManagement/types"/>
    <ds:schemaRef ds:uri="0f563589-9cf9-4143-b1eb-fb0534803d38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schemas.microsoft.com/office/infopath/2007/PartnerControls"/>
    <ds:schemaRef ds:uri="http://purl.org/dc/terms/"/>
    <ds:schemaRef ds:uri="aed5e396-b62e-438f-bd6c-6d53d54e5cfc"/>
    <ds:schemaRef ds:uri="897d5b50-e2b5-48d2-af00-621a7a6336c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1E016EA-248E-458C-B6C0-EB16CD29E3A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9C0C990-6088-480F-AA65-92C763D39E95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7900C23E-4088-45F9-B647-5687357D4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COVID-19 A4 fact sheet_.dotx</Template>
  <TotalTime>151</TotalTime>
  <Pages>6</Pages>
  <Words>2349</Words>
  <Characters>13393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2_SMEs</vt:lpstr>
    </vt:vector>
  </TitlesOfParts>
  <Company>The Department of the Treasury</Company>
  <LinksUpToDate>false</LinksUpToDate>
  <CharactersWithSpaces>15711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2_SMEs</dc:title>
  <dc:subject/>
  <dc:creator>Cox, Zoe</dc:creator>
  <cp:keywords/>
  <dc:description/>
  <cp:lastModifiedBy>Hodges, Liam</cp:lastModifiedBy>
  <cp:revision>71</cp:revision>
  <cp:lastPrinted>2020-03-21T03:23:00Z</cp:lastPrinted>
  <dcterms:created xsi:type="dcterms:W3CDTF">2020-03-11T04:28:00Z</dcterms:created>
  <dcterms:modified xsi:type="dcterms:W3CDTF">2020-03-21T20:53:00Z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Classification">
    <vt:lpwstr>Protected</vt:lpwstr>
  </property>
  <property fmtid="{D5CDD505-2E9C-101B-9397-08002B2CF9AE}" pid="3" name="DLMSecurityClassification">
    <vt:lpwstr>Sensitive:  Cabinet</vt:lpwstr>
  </property>
  <property fmtid="{D5CDD505-2E9C-101B-9397-08002B2CF9AE}" pid="4" name="ContentTypeId">
    <vt:lpwstr>0x010100B0B2B725CB133046A824148AFBF7588D00FB86DB676D39E9448B5E55157D1D7E54</vt:lpwstr>
  </property>
  <property fmtid="{D5CDD505-2E9C-101B-9397-08002B2CF9AE}" pid="5" name="_dlc_DocIdItemGuid">
    <vt:lpwstr>5ed216ca-33c4-4ba9-8a0d-f1ec620ec174</vt:lpwstr>
  </property>
  <property fmtid="{D5CDD505-2E9C-101B-9397-08002B2CF9AE}" pid="6" name="TaxKeyword">
    <vt:lpwstr/>
  </property>
  <property fmtid="{D5CDD505-2E9C-101B-9397-08002B2CF9AE}" pid="7" name="TSYRecordClass">
    <vt:lpwstr/>
  </property>
  <property fmtid="{D5CDD505-2E9C-101B-9397-08002B2CF9AE}" pid="8" name="Order">
    <vt:r8>19800</vt:r8>
  </property>
  <property fmtid="{D5CDD505-2E9C-101B-9397-08002B2CF9AE}" pid="9" name="oae75e2df9d943898d59cb03ca0993c5">
    <vt:lpwstr/>
  </property>
  <property fmtid="{D5CDD505-2E9C-101B-9397-08002B2CF9AE}" pid="10" name="Topics">
    <vt:lpwstr/>
  </property>
  <property fmtid="{D5CDD505-2E9C-101B-9397-08002B2CF9AE}" pid="11" name="MailSubject">
    <vt:lpwstr/>
  </property>
  <property fmtid="{D5CDD505-2E9C-101B-9397-08002B2CF9AE}" pid="12" name="OriginalSubject">
    <vt:lpwstr/>
  </property>
  <property fmtid="{D5CDD505-2E9C-101B-9397-08002B2CF9AE}" pid="13" name="TSYTopic">
    <vt:lpwstr>184;#COVID-19|cc09a21e-f925-49e1-9a69-f2288a9e1b97</vt:lpwstr>
  </property>
  <property fmtid="{D5CDD505-2E9C-101B-9397-08002B2CF9AE}" pid="14" name="Cc">
    <vt:lpwstr/>
  </property>
  <property fmtid="{D5CDD505-2E9C-101B-9397-08002B2CF9AE}" pid="15" name="From1">
    <vt:lpwstr/>
  </property>
  <property fmtid="{D5CDD505-2E9C-101B-9397-08002B2CF9AE}" pid="16" name="MailIn-Reply-To">
    <vt:lpwstr/>
  </property>
  <property fmtid="{D5CDD505-2E9C-101B-9397-08002B2CF9AE}" pid="17" name="MailReferences">
    <vt:lpwstr/>
  </property>
  <property fmtid="{D5CDD505-2E9C-101B-9397-08002B2CF9AE}" pid="18" name="MailTo">
    <vt:lpwstr/>
  </property>
</Properties>
</file>