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2E4BE" w14:textId="673BE400" w:rsidR="00ED7D9E" w:rsidRDefault="007B4153" w:rsidP="007B4153">
      <w:pPr>
        <w:pStyle w:val="Introtext"/>
        <w:rPr>
          <w:color w:val="7F7F7F" w:themeColor="text1" w:themeTint="80"/>
        </w:rPr>
      </w:pPr>
      <w:r>
        <w:t>Th</w:t>
      </w:r>
      <w:r w:rsidR="004E083F">
        <w:t xml:space="preserve">ese payments </w:t>
      </w:r>
      <w:r w:rsidRPr="00BC68B2">
        <w:t xml:space="preserve">will </w:t>
      </w:r>
      <w:r w:rsidR="00D04179">
        <w:t xml:space="preserve">provide assistance to </w:t>
      </w:r>
      <w:r>
        <w:t>lower income</w:t>
      </w:r>
      <w:r w:rsidRPr="00BC68B2">
        <w:t xml:space="preserve"> Australians, including </w:t>
      </w:r>
      <w:r>
        <w:t xml:space="preserve">pensioners, other </w:t>
      </w:r>
      <w:r w:rsidRPr="00BC68B2">
        <w:t xml:space="preserve">social security and </w:t>
      </w:r>
      <w:r>
        <w:t xml:space="preserve">veteran </w:t>
      </w:r>
      <w:r w:rsidRPr="00BC68B2">
        <w:t xml:space="preserve">income support recipients and eligible </w:t>
      </w:r>
      <w:r>
        <w:t xml:space="preserve">concession </w:t>
      </w:r>
      <w:r w:rsidRPr="00BC68B2">
        <w:t>card holders</w:t>
      </w:r>
      <w:r>
        <w:t xml:space="preserve">. </w:t>
      </w:r>
    </w:p>
    <w:p w14:paraId="19D2D0D1" w14:textId="1FBAD51B" w:rsidR="005F12DA" w:rsidRDefault="00D04179" w:rsidP="003F1276">
      <w:pPr>
        <w:pStyle w:val="Heading2"/>
      </w:pPr>
      <w:r>
        <w:t>SUPPORT</w:t>
      </w:r>
      <w:r w:rsidR="00994BCB">
        <w:t xml:space="preserve"> </w:t>
      </w:r>
      <w:r w:rsidR="005F12DA">
        <w:t>PAYMENT</w:t>
      </w:r>
      <w:r w:rsidR="00281EE7">
        <w:t>s</w:t>
      </w:r>
    </w:p>
    <w:p w14:paraId="570E7BF6" w14:textId="77777777" w:rsidR="009455AB" w:rsidRDefault="009455AB" w:rsidP="009455AB">
      <w:pPr>
        <w:pStyle w:val="Heading3"/>
      </w:pPr>
      <w:r>
        <w:t>Summary</w:t>
      </w:r>
    </w:p>
    <w:p w14:paraId="1CD07B1A" w14:textId="078CC3AD" w:rsidR="00957947" w:rsidRDefault="009455AB" w:rsidP="007B4153">
      <w:r w:rsidRPr="003D0300">
        <w:rPr>
          <w:rStyle w:val="PlaceholderText"/>
          <w:color w:val="auto"/>
        </w:rPr>
        <w:t xml:space="preserve">The Government </w:t>
      </w:r>
      <w:r w:rsidR="005E5D5A">
        <w:rPr>
          <w:rStyle w:val="PlaceholderText"/>
          <w:color w:val="auto"/>
        </w:rPr>
        <w:t xml:space="preserve">is </w:t>
      </w:r>
      <w:r w:rsidRPr="003D0300">
        <w:rPr>
          <w:rStyle w:val="PlaceholderText"/>
          <w:color w:val="auto"/>
        </w:rPr>
        <w:t>provid</w:t>
      </w:r>
      <w:r w:rsidR="005E5D5A">
        <w:rPr>
          <w:rStyle w:val="PlaceholderText"/>
          <w:color w:val="auto"/>
        </w:rPr>
        <w:t xml:space="preserve">ing two separate </w:t>
      </w:r>
      <w:r w:rsidR="00957947">
        <w:t>$750 payment</w:t>
      </w:r>
      <w:r w:rsidR="005E5D5A">
        <w:t>s</w:t>
      </w:r>
      <w:r w:rsidR="00957947">
        <w:t xml:space="preserve"> to social security</w:t>
      </w:r>
      <w:r w:rsidR="007178B8">
        <w:t xml:space="preserve">, veteran and </w:t>
      </w:r>
      <w:r w:rsidR="00957947">
        <w:t xml:space="preserve">other income support recipients and eligible </w:t>
      </w:r>
      <w:r w:rsidR="00756103">
        <w:t xml:space="preserve">concession </w:t>
      </w:r>
      <w:r w:rsidR="00957947">
        <w:t>card holders</w:t>
      </w:r>
      <w:r w:rsidR="007B4153">
        <w:t xml:space="preserve">. </w:t>
      </w:r>
      <w:r w:rsidR="000728F9" w:rsidRPr="000728F9">
        <w:t>Around half of those that benefit are pensioners.</w:t>
      </w:r>
      <w:r w:rsidR="00957947">
        <w:t xml:space="preserve"> Th</w:t>
      </w:r>
      <w:r w:rsidR="003A6874">
        <w:t>ese</w:t>
      </w:r>
      <w:r w:rsidR="00957947">
        <w:t xml:space="preserve"> payment</w:t>
      </w:r>
      <w:r w:rsidR="003A6874">
        <w:t>s</w:t>
      </w:r>
      <w:r w:rsidR="00957947">
        <w:t xml:space="preserve"> </w:t>
      </w:r>
      <w:r w:rsidR="007703D1">
        <w:t xml:space="preserve">will </w:t>
      </w:r>
      <w:r w:rsidR="00957947">
        <w:t xml:space="preserve">support </w:t>
      </w:r>
      <w:r w:rsidR="00321FB9">
        <w:t xml:space="preserve">households to manage the economic impact of the Coronavirus. </w:t>
      </w:r>
    </w:p>
    <w:p w14:paraId="2951DCA0" w14:textId="60F83129" w:rsidR="005E5D5A" w:rsidRPr="00F84B72" w:rsidRDefault="005E5D5A" w:rsidP="0095266C">
      <w:pPr>
        <w:pStyle w:val="Bullet"/>
        <w:rPr>
          <w:rStyle w:val="PlaceholderText"/>
          <w:color w:val="auto"/>
        </w:rPr>
      </w:pPr>
      <w:r>
        <w:t xml:space="preserve">The </w:t>
      </w:r>
      <w:r w:rsidRPr="00677079">
        <w:rPr>
          <w:b/>
        </w:rPr>
        <w:t>first payment</w:t>
      </w:r>
      <w:r>
        <w:t xml:space="preserve"> (announced on 12 March</w:t>
      </w:r>
      <w:r w:rsidR="00677079">
        <w:t xml:space="preserve"> 2020</w:t>
      </w:r>
      <w:r>
        <w:t xml:space="preserve">) will be available to </w:t>
      </w:r>
      <w:r w:rsidR="0095266C">
        <w:t xml:space="preserve">people who are </w:t>
      </w:r>
      <w:r>
        <w:t xml:space="preserve">eligible </w:t>
      </w:r>
      <w:r w:rsidR="0095266C">
        <w:t xml:space="preserve">payment recipients and concession card holders </w:t>
      </w:r>
      <w:r w:rsidR="001E6316">
        <w:rPr>
          <w:rStyle w:val="PlaceholderText"/>
          <w:color w:val="auto"/>
        </w:rPr>
        <w:t xml:space="preserve">at any time </w:t>
      </w:r>
      <w:r w:rsidR="00C33751">
        <w:rPr>
          <w:rStyle w:val="PlaceholderText"/>
          <w:color w:val="auto"/>
        </w:rPr>
        <w:t xml:space="preserve">from </w:t>
      </w:r>
      <w:r w:rsidR="001E6316" w:rsidRPr="00F84B72">
        <w:rPr>
          <w:rStyle w:val="PlaceholderText"/>
          <w:color w:val="auto"/>
        </w:rPr>
        <w:t xml:space="preserve">12 March 2020 </w:t>
      </w:r>
      <w:r w:rsidR="001E6316">
        <w:rPr>
          <w:rStyle w:val="PlaceholderText"/>
          <w:color w:val="auto"/>
        </w:rPr>
        <w:t xml:space="preserve">to </w:t>
      </w:r>
      <w:r w:rsidR="00677079">
        <w:rPr>
          <w:rStyle w:val="PlaceholderText"/>
          <w:color w:val="auto"/>
        </w:rPr>
        <w:t>13 </w:t>
      </w:r>
      <w:r w:rsidR="001E6316">
        <w:rPr>
          <w:rStyle w:val="PlaceholderText"/>
          <w:color w:val="auto"/>
        </w:rPr>
        <w:t>April 2020</w:t>
      </w:r>
      <w:r w:rsidR="008C4C24">
        <w:rPr>
          <w:rStyle w:val="PlaceholderText"/>
          <w:color w:val="auto"/>
        </w:rPr>
        <w:t xml:space="preserve"> inclusive</w:t>
      </w:r>
      <w:r w:rsidR="00F84B72">
        <w:rPr>
          <w:rStyle w:val="PlaceholderText"/>
          <w:color w:val="auto"/>
        </w:rPr>
        <w:t>.</w:t>
      </w:r>
    </w:p>
    <w:p w14:paraId="2E37ED26" w14:textId="08E7E1D4" w:rsidR="0095266C" w:rsidRDefault="0095266C" w:rsidP="0095266C">
      <w:pPr>
        <w:pStyle w:val="Bullet"/>
      </w:pPr>
      <w:r>
        <w:rPr>
          <w:rStyle w:val="PlaceholderText"/>
          <w:color w:val="auto"/>
        </w:rPr>
        <w:t xml:space="preserve">The </w:t>
      </w:r>
      <w:r w:rsidRPr="00677079">
        <w:rPr>
          <w:rStyle w:val="PlaceholderText"/>
          <w:b/>
          <w:color w:val="auto"/>
        </w:rPr>
        <w:t>second payment</w:t>
      </w:r>
      <w:r>
        <w:rPr>
          <w:rStyle w:val="PlaceholderText"/>
          <w:color w:val="auto"/>
        </w:rPr>
        <w:t xml:space="preserve"> </w:t>
      </w:r>
      <w:r>
        <w:t>will be available to people who are eligible payment recipients and concession card holders on 10 July 2020.</w:t>
      </w:r>
    </w:p>
    <w:p w14:paraId="2EBDC271" w14:textId="671C4F87" w:rsidR="009455AB" w:rsidRPr="00FE7BB8" w:rsidRDefault="00015AF1" w:rsidP="00FE7BB8">
      <w:r w:rsidRPr="00FE7BB8">
        <w:t xml:space="preserve">A person can </w:t>
      </w:r>
      <w:r w:rsidR="00C33751" w:rsidRPr="00FE7BB8">
        <w:t xml:space="preserve">be eligible to </w:t>
      </w:r>
      <w:r w:rsidRPr="00FE7BB8">
        <w:t xml:space="preserve">receive both a first and second </w:t>
      </w:r>
      <w:r w:rsidR="00A74578" w:rsidRPr="00FE7BB8">
        <w:t xml:space="preserve">support </w:t>
      </w:r>
      <w:r w:rsidR="00B4091D" w:rsidRPr="00FE7BB8">
        <w:t xml:space="preserve">payment. </w:t>
      </w:r>
      <w:r w:rsidRPr="00FE7BB8">
        <w:t xml:space="preserve">However, they can only receive one $750 payment in each round of payments, even if they </w:t>
      </w:r>
      <w:r w:rsidR="009455AB" w:rsidRPr="00FE7BB8">
        <w:t>qualif</w:t>
      </w:r>
      <w:r w:rsidRPr="00FE7BB8">
        <w:t>y</w:t>
      </w:r>
      <w:r w:rsidR="009455AB" w:rsidRPr="00FE7BB8">
        <w:t xml:space="preserve"> </w:t>
      </w:r>
      <w:r w:rsidR="00B13062" w:rsidRPr="00FE7BB8">
        <w:t xml:space="preserve">in each round of </w:t>
      </w:r>
      <w:r w:rsidR="009455AB" w:rsidRPr="00FE7BB8">
        <w:t>the payment</w:t>
      </w:r>
      <w:r w:rsidR="00B13062" w:rsidRPr="00FE7BB8">
        <w:t>s</w:t>
      </w:r>
      <w:r w:rsidR="009455AB" w:rsidRPr="00FE7BB8">
        <w:t xml:space="preserve"> in multiple ways.</w:t>
      </w:r>
    </w:p>
    <w:p w14:paraId="40D9413E" w14:textId="1B56B9CD" w:rsidR="009455AB" w:rsidRPr="00FE7BB8" w:rsidRDefault="009455AB" w:rsidP="00FE7BB8">
      <w:r w:rsidRPr="00FE7BB8">
        <w:t xml:space="preserve">The payment will be exempt from taxation and will not count as income for </w:t>
      </w:r>
      <w:r w:rsidR="00C33751" w:rsidRPr="00FE7BB8">
        <w:t xml:space="preserve">the purposes of </w:t>
      </w:r>
      <w:r w:rsidRPr="00FE7BB8">
        <w:t>Social Security, F</w:t>
      </w:r>
      <w:r w:rsidR="007B4153" w:rsidRPr="00FE7BB8">
        <w:t xml:space="preserve">arm Household </w:t>
      </w:r>
      <w:r w:rsidR="00756103" w:rsidRPr="00FE7BB8">
        <w:t>Allowance</w:t>
      </w:r>
      <w:r w:rsidRPr="00FE7BB8">
        <w:t xml:space="preserve"> and Veteran payments.</w:t>
      </w:r>
    </w:p>
    <w:p w14:paraId="69A8B958" w14:textId="66508F90" w:rsidR="009455AB" w:rsidRPr="003D0300" w:rsidRDefault="009455AB" w:rsidP="009455AB">
      <w:pPr>
        <w:pStyle w:val="Heading3"/>
      </w:pPr>
      <w:r w:rsidRPr="008149CA">
        <w:t>Eligibility</w:t>
      </w:r>
      <w:r w:rsidR="00F84B72">
        <w:t xml:space="preserve"> for the first payment</w:t>
      </w:r>
    </w:p>
    <w:p w14:paraId="08DB4C4C" w14:textId="05A207E0" w:rsidR="009455AB" w:rsidRPr="00FE7BB8" w:rsidRDefault="0095266C" w:rsidP="00FE7BB8">
      <w:pPr>
        <w:sectPr w:rsidR="009455AB" w:rsidRPr="00FE7BB8" w:rsidSect="00FE7B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134" w:right="1134" w:bottom="1134" w:left="1134" w:header="794" w:footer="227" w:gutter="0"/>
          <w:cols w:space="397"/>
          <w:titlePg/>
          <w:docGrid w:linePitch="360"/>
        </w:sectPr>
      </w:pPr>
      <w:r w:rsidRPr="00FE7BB8">
        <w:t xml:space="preserve">To </w:t>
      </w:r>
      <w:r w:rsidR="009455AB" w:rsidRPr="00FE7BB8">
        <w:t>be eligible</w:t>
      </w:r>
      <w:r w:rsidRPr="00FE7BB8">
        <w:t xml:space="preserve"> for the first payment</w:t>
      </w:r>
      <w:r w:rsidR="009455AB" w:rsidRPr="00FE7BB8">
        <w:t>, you must be residing in Australia and be receiving one of the following payments</w:t>
      </w:r>
      <w:r w:rsidR="00C33751" w:rsidRPr="00FE7BB8">
        <w:t>,</w:t>
      </w:r>
      <w:r w:rsidR="009455AB" w:rsidRPr="00FE7BB8">
        <w:t xml:space="preserve"> or hold one of the following concession cards</w:t>
      </w:r>
      <w:r w:rsidR="00C33751" w:rsidRPr="00FE7BB8">
        <w:t>,</w:t>
      </w:r>
      <w:r w:rsidR="009455AB" w:rsidRPr="00FE7BB8">
        <w:t xml:space="preserve"> </w:t>
      </w:r>
      <w:r w:rsidR="001E6316" w:rsidRPr="00FE7BB8">
        <w:t xml:space="preserve">at any time </w:t>
      </w:r>
      <w:r w:rsidR="00C33751" w:rsidRPr="00FE7BB8">
        <w:t xml:space="preserve">from </w:t>
      </w:r>
      <w:r w:rsidR="009455AB" w:rsidRPr="00FE7BB8">
        <w:t>12 March 2020</w:t>
      </w:r>
      <w:r w:rsidR="005E5D5A" w:rsidRPr="00FE7BB8">
        <w:t xml:space="preserve"> </w:t>
      </w:r>
      <w:r w:rsidR="001E6316" w:rsidRPr="00FE7BB8">
        <w:t xml:space="preserve">to </w:t>
      </w:r>
      <w:r w:rsidR="00C519C7" w:rsidRPr="00FE7BB8">
        <w:t>13 </w:t>
      </w:r>
      <w:r w:rsidR="005E5D5A" w:rsidRPr="00FE7BB8">
        <w:t>April</w:t>
      </w:r>
      <w:r w:rsidR="00C519C7" w:rsidRPr="00FE7BB8">
        <w:t> </w:t>
      </w:r>
      <w:r w:rsidR="005E5D5A" w:rsidRPr="00FE7BB8">
        <w:t>2020</w:t>
      </w:r>
      <w:r w:rsidR="00C33751" w:rsidRPr="00FE7BB8">
        <w:t>,</w:t>
      </w:r>
      <w:r w:rsidR="008C4C24" w:rsidRPr="00FE7BB8">
        <w:t xml:space="preserve"> inclusive</w:t>
      </w:r>
      <w:r w:rsidR="009455AB" w:rsidRPr="00FE7BB8">
        <w:t>:</w:t>
      </w:r>
    </w:p>
    <w:p w14:paraId="600AC597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Age Pension</w:t>
      </w:r>
    </w:p>
    <w:p w14:paraId="184B24B9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Disability Support Pension</w:t>
      </w:r>
    </w:p>
    <w:p w14:paraId="15CC9225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Carer Payment</w:t>
      </w:r>
    </w:p>
    <w:p w14:paraId="640F4D1C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Parenting Payment</w:t>
      </w:r>
    </w:p>
    <w:p w14:paraId="3A0E29CD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Wife Pension</w:t>
      </w:r>
    </w:p>
    <w:p w14:paraId="4C667643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Widow B Pension</w:t>
      </w:r>
    </w:p>
    <w:p w14:paraId="11D3CB8C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ABSTUDY (Living Allowance)</w:t>
      </w:r>
    </w:p>
    <w:p w14:paraId="05348039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Austudy</w:t>
      </w:r>
    </w:p>
    <w:p w14:paraId="4A27AD53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Bereavement Allowance</w:t>
      </w:r>
    </w:p>
    <w:p w14:paraId="6F311FD8" w14:textId="6E435FC9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Newstart Allowance</w:t>
      </w:r>
    </w:p>
    <w:p w14:paraId="29BE9A5B" w14:textId="5611576E" w:rsidR="00985F64" w:rsidRPr="00FE7BB8" w:rsidRDefault="00985F64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JobSeeker Payment</w:t>
      </w:r>
    </w:p>
    <w:p w14:paraId="4A9F8160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Youth Allowance</w:t>
      </w:r>
    </w:p>
    <w:p w14:paraId="64332CE5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Partner Allowance</w:t>
      </w:r>
    </w:p>
    <w:p w14:paraId="1A4E320C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Sickness Allowance</w:t>
      </w:r>
    </w:p>
    <w:p w14:paraId="44E2BC91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Special Benefit</w:t>
      </w:r>
    </w:p>
    <w:p w14:paraId="4968E815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Widow Allowance</w:t>
      </w:r>
    </w:p>
    <w:p w14:paraId="589C4C90" w14:textId="77777777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Family Tax Benefit, including Double Orphan Pension</w:t>
      </w:r>
    </w:p>
    <w:p w14:paraId="7F320F78" w14:textId="2CD5C135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Carer Allowance</w:t>
      </w:r>
    </w:p>
    <w:p w14:paraId="1F61D537" w14:textId="7F7C8249" w:rsidR="00DC3A4D" w:rsidRPr="00FE7BB8" w:rsidRDefault="00DC3A4D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Pension</w:t>
      </w:r>
      <w:r w:rsidR="00756103" w:rsidRPr="00FE7BB8">
        <w:rPr>
          <w:rStyle w:val="PlaceholderText"/>
          <w:color w:val="auto"/>
        </w:rPr>
        <w:t>er</w:t>
      </w:r>
      <w:r w:rsidRPr="00FE7BB8">
        <w:rPr>
          <w:rStyle w:val="PlaceholderText"/>
          <w:color w:val="auto"/>
        </w:rPr>
        <w:t xml:space="preserve"> Concession Card </w:t>
      </w:r>
      <w:r w:rsidR="006D4F70" w:rsidRPr="00FE7BB8">
        <w:rPr>
          <w:rStyle w:val="PlaceholderText"/>
          <w:color w:val="auto"/>
        </w:rPr>
        <w:t xml:space="preserve">(PCC) </w:t>
      </w:r>
      <w:r w:rsidRPr="00FE7BB8">
        <w:rPr>
          <w:rStyle w:val="PlaceholderText"/>
          <w:color w:val="auto"/>
        </w:rPr>
        <w:t>holders</w:t>
      </w:r>
    </w:p>
    <w:p w14:paraId="3E8862A8" w14:textId="4B31568D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 xml:space="preserve">Commonwealth Seniors </w:t>
      </w:r>
      <w:r w:rsidR="00DC3A4D" w:rsidRPr="00FE7BB8">
        <w:rPr>
          <w:rStyle w:val="PlaceholderText"/>
          <w:color w:val="auto"/>
        </w:rPr>
        <w:t xml:space="preserve">Health </w:t>
      </w:r>
      <w:r w:rsidRPr="00FE7BB8">
        <w:rPr>
          <w:rStyle w:val="PlaceholderText"/>
          <w:color w:val="auto"/>
        </w:rPr>
        <w:t xml:space="preserve">Card </w:t>
      </w:r>
      <w:r w:rsidR="00DC3A4D" w:rsidRPr="00FE7BB8">
        <w:rPr>
          <w:rStyle w:val="PlaceholderText"/>
          <w:color w:val="auto"/>
        </w:rPr>
        <w:t>h</w:t>
      </w:r>
      <w:r w:rsidRPr="00FE7BB8">
        <w:rPr>
          <w:rStyle w:val="PlaceholderText"/>
          <w:color w:val="auto"/>
        </w:rPr>
        <w:t>olders</w:t>
      </w:r>
    </w:p>
    <w:p w14:paraId="113DAECF" w14:textId="2FDEC881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Veteran Service Pension; Veteran Income Support Supplement; Veteran Compensation payments</w:t>
      </w:r>
      <w:r w:rsidR="00B90990" w:rsidRPr="00FE7BB8">
        <w:rPr>
          <w:rStyle w:val="PlaceholderText"/>
          <w:color w:val="auto"/>
        </w:rPr>
        <w:t>, including lump sum payments</w:t>
      </w:r>
      <w:r w:rsidRPr="00FE7BB8">
        <w:rPr>
          <w:rStyle w:val="PlaceholderText"/>
          <w:color w:val="auto"/>
        </w:rPr>
        <w:t>; War Widow(er) Pension</w:t>
      </w:r>
      <w:r w:rsidR="009202E3" w:rsidRPr="00FE7BB8">
        <w:rPr>
          <w:rStyle w:val="PlaceholderText"/>
          <w:color w:val="auto"/>
        </w:rPr>
        <w:t xml:space="preserve">; </w:t>
      </w:r>
      <w:r w:rsidR="005E30BA" w:rsidRPr="00FE7BB8">
        <w:rPr>
          <w:rStyle w:val="PlaceholderText"/>
          <w:color w:val="auto"/>
        </w:rPr>
        <w:t xml:space="preserve">and </w:t>
      </w:r>
      <w:r w:rsidR="009202E3" w:rsidRPr="00FE7BB8">
        <w:rPr>
          <w:rStyle w:val="PlaceholderText"/>
          <w:color w:val="auto"/>
        </w:rPr>
        <w:t>Veteran Payment</w:t>
      </w:r>
      <w:r w:rsidR="00A02CC5">
        <w:rPr>
          <w:rStyle w:val="PlaceholderText"/>
          <w:color w:val="auto"/>
        </w:rPr>
        <w:t>.</w:t>
      </w:r>
    </w:p>
    <w:p w14:paraId="449D97B9" w14:textId="788A5B79" w:rsidR="004E083F" w:rsidRPr="00FE7BB8" w:rsidRDefault="006D4F70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 xml:space="preserve">DVA PCC holders; DVA Education Scheme recipients; Disability Pensioners </w:t>
      </w:r>
      <w:r w:rsidR="004327CC" w:rsidRPr="00FE7BB8">
        <w:rPr>
          <w:rStyle w:val="PlaceholderText"/>
          <w:color w:val="auto"/>
        </w:rPr>
        <w:t>at the t</w:t>
      </w:r>
      <w:r w:rsidRPr="00FE7BB8">
        <w:rPr>
          <w:rStyle w:val="PlaceholderText"/>
          <w:color w:val="auto"/>
        </w:rPr>
        <w:t xml:space="preserve">emporary </w:t>
      </w:r>
      <w:r w:rsidR="004327CC" w:rsidRPr="00FE7BB8">
        <w:rPr>
          <w:rStyle w:val="PlaceholderText"/>
          <w:color w:val="auto"/>
        </w:rPr>
        <w:t>s</w:t>
      </w:r>
      <w:r w:rsidRPr="00FE7BB8">
        <w:rPr>
          <w:rStyle w:val="PlaceholderText"/>
          <w:color w:val="auto"/>
        </w:rPr>
        <w:t xml:space="preserve">pecial </w:t>
      </w:r>
      <w:r w:rsidR="004327CC" w:rsidRPr="00FE7BB8">
        <w:rPr>
          <w:rStyle w:val="PlaceholderText"/>
          <w:color w:val="auto"/>
        </w:rPr>
        <w:t>r</w:t>
      </w:r>
      <w:r w:rsidRPr="00FE7BB8">
        <w:rPr>
          <w:rStyle w:val="PlaceholderText"/>
          <w:color w:val="auto"/>
        </w:rPr>
        <w:t xml:space="preserve">ate; DVA Income support pensioners at $0 rate. </w:t>
      </w:r>
    </w:p>
    <w:p w14:paraId="066804A2" w14:textId="17C77FFA" w:rsidR="009455AB" w:rsidRPr="00FE7BB8" w:rsidRDefault="00A11623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 xml:space="preserve">Veteran Gold </w:t>
      </w:r>
      <w:r w:rsidR="009455AB" w:rsidRPr="00FE7BB8">
        <w:rPr>
          <w:rStyle w:val="PlaceholderText"/>
          <w:color w:val="auto"/>
        </w:rPr>
        <w:t>Card</w:t>
      </w:r>
      <w:r w:rsidR="00DC3A4D" w:rsidRPr="00FE7BB8">
        <w:rPr>
          <w:rStyle w:val="PlaceholderText"/>
          <w:color w:val="auto"/>
        </w:rPr>
        <w:t xml:space="preserve"> holders</w:t>
      </w:r>
    </w:p>
    <w:p w14:paraId="434EDDAC" w14:textId="1594B3B4" w:rsidR="009455AB" w:rsidRPr="00FE7BB8" w:rsidRDefault="009455AB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Farm Household Allowance</w:t>
      </w:r>
    </w:p>
    <w:p w14:paraId="439AD864" w14:textId="77777777" w:rsidR="004E083F" w:rsidRPr="003D0300" w:rsidRDefault="004E083F" w:rsidP="009455AB">
      <w:pPr>
        <w:pStyle w:val="Bullet"/>
        <w:numPr>
          <w:ilvl w:val="0"/>
          <w:numId w:val="0"/>
        </w:numPr>
        <w:ind w:left="520" w:hanging="520"/>
        <w:rPr>
          <w:rStyle w:val="PlaceholderText"/>
          <w:color w:val="auto"/>
        </w:rPr>
        <w:sectPr w:rsidR="004E083F" w:rsidRPr="003D0300" w:rsidSect="00FE7BB8">
          <w:type w:val="continuous"/>
          <w:pgSz w:w="11906" w:h="16838" w:code="9"/>
          <w:pgMar w:top="1134" w:right="1134" w:bottom="1134" w:left="1134" w:header="794" w:footer="227" w:gutter="0"/>
          <w:cols w:num="2" w:space="397"/>
          <w:titlePg/>
          <w:docGrid w:linePitch="360"/>
        </w:sectPr>
      </w:pPr>
    </w:p>
    <w:p w14:paraId="266C440E" w14:textId="3E93B7DF" w:rsidR="009455AB" w:rsidRDefault="009455AB" w:rsidP="009455AB">
      <w:r w:rsidRPr="003D0300">
        <w:lastRenderedPageBreak/>
        <w:t xml:space="preserve">Where someone has lodged a claim for one of the eligible payments or concession cards </w:t>
      </w:r>
      <w:r w:rsidR="00677079">
        <w:rPr>
          <w:rStyle w:val="PlaceholderText"/>
          <w:color w:val="auto"/>
        </w:rPr>
        <w:t xml:space="preserve">at any time </w:t>
      </w:r>
      <w:r w:rsidR="007703D1">
        <w:rPr>
          <w:rStyle w:val="PlaceholderText"/>
          <w:color w:val="auto"/>
        </w:rPr>
        <w:t xml:space="preserve">from </w:t>
      </w:r>
      <w:r w:rsidR="00677079" w:rsidRPr="00F84B72">
        <w:rPr>
          <w:rStyle w:val="PlaceholderText"/>
          <w:color w:val="auto"/>
        </w:rPr>
        <w:t xml:space="preserve">12 March </w:t>
      </w:r>
      <w:r w:rsidR="007703D1">
        <w:rPr>
          <w:rStyle w:val="PlaceholderText"/>
          <w:color w:val="auto"/>
        </w:rPr>
        <w:t>to</w:t>
      </w:r>
      <w:r w:rsidR="00677079">
        <w:rPr>
          <w:rStyle w:val="PlaceholderText"/>
          <w:color w:val="auto"/>
        </w:rPr>
        <w:t xml:space="preserve"> </w:t>
      </w:r>
      <w:r w:rsidR="00677079" w:rsidRPr="00F84B72">
        <w:rPr>
          <w:rStyle w:val="PlaceholderText"/>
          <w:color w:val="auto"/>
        </w:rPr>
        <w:t>13 April 2020</w:t>
      </w:r>
      <w:r w:rsidR="00677079">
        <w:rPr>
          <w:rStyle w:val="PlaceholderText"/>
          <w:color w:val="auto"/>
        </w:rPr>
        <w:t xml:space="preserve"> inclusive</w:t>
      </w:r>
      <w:r w:rsidRPr="003D0300">
        <w:t xml:space="preserve">, and the claim is subsequently granted, they will also receive the </w:t>
      </w:r>
      <w:r w:rsidR="00677079">
        <w:t>payment</w:t>
      </w:r>
      <w:r w:rsidRPr="003D0300">
        <w:t>.</w:t>
      </w:r>
    </w:p>
    <w:p w14:paraId="7237D731" w14:textId="1B3A94D9" w:rsidR="008C4C24" w:rsidRDefault="00180E56" w:rsidP="009455AB">
      <w:r>
        <w:t xml:space="preserve">The first payment will be made to </w:t>
      </w:r>
      <w:r w:rsidR="005333D0">
        <w:t xml:space="preserve">approximately </w:t>
      </w:r>
      <w:r w:rsidRPr="00180E56">
        <w:t>6.</w:t>
      </w:r>
      <w:r w:rsidR="00A74578">
        <w:t>6</w:t>
      </w:r>
      <w:r w:rsidRPr="00180E56">
        <w:t xml:space="preserve"> million social security, veteran and other income support recipients and eligible concession card holders. Around half of those that benefit are pensioners.</w:t>
      </w:r>
    </w:p>
    <w:p w14:paraId="74E55709" w14:textId="2EF80C46" w:rsidR="008C4C24" w:rsidRPr="003D0300" w:rsidRDefault="008C4C24" w:rsidP="008C4C24">
      <w:pPr>
        <w:pStyle w:val="Heading3"/>
      </w:pPr>
      <w:r w:rsidRPr="008149CA">
        <w:t>Eligibility</w:t>
      </w:r>
      <w:r>
        <w:t xml:space="preserve"> for the second payment </w:t>
      </w:r>
    </w:p>
    <w:p w14:paraId="0F0CCF3C" w14:textId="0A5B26AD" w:rsidR="00677079" w:rsidRPr="00FE7BB8" w:rsidRDefault="008C4C24" w:rsidP="00FE7BB8">
      <w:r w:rsidRPr="00FE7BB8">
        <w:t>To be eligible for the second payment, you must be residing in Australia and be receiving one of the payments or hold</w:t>
      </w:r>
      <w:r w:rsidR="00043B4B" w:rsidRPr="00FE7BB8">
        <w:t xml:space="preserve">ing one of the concession cards that were eligible for the first payment, except </w:t>
      </w:r>
      <w:r w:rsidR="00677079" w:rsidRPr="00FE7BB8">
        <w:t xml:space="preserve">for those who are receiving an income support payment that is eligible to receive the Coronavirus </w:t>
      </w:r>
      <w:r w:rsidR="003A6D36" w:rsidRPr="00FE7BB8">
        <w:t>s</w:t>
      </w:r>
      <w:r w:rsidR="00677079" w:rsidRPr="00FE7BB8">
        <w:t>upplement</w:t>
      </w:r>
      <w:r w:rsidR="003A6D36" w:rsidRPr="00FE7BB8">
        <w:t xml:space="preserve">. </w:t>
      </w:r>
    </w:p>
    <w:p w14:paraId="0DB3AA24" w14:textId="08B0F4F4" w:rsidR="008C4C24" w:rsidRDefault="00677079" w:rsidP="00FE7BB8">
      <w:pPr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Income support </w:t>
      </w:r>
      <w:r w:rsidR="003A6D36" w:rsidRPr="00FE7BB8">
        <w:t>recipients</w:t>
      </w:r>
      <w:r w:rsidR="003A6D36">
        <w:rPr>
          <w:rStyle w:val="PlaceholderText"/>
          <w:color w:val="auto"/>
        </w:rPr>
        <w:t xml:space="preserve"> that are </w:t>
      </w:r>
      <w:r>
        <w:rPr>
          <w:rStyle w:val="PlaceholderText"/>
          <w:color w:val="auto"/>
        </w:rPr>
        <w:t xml:space="preserve">eligible to receive the Coronavirus </w:t>
      </w:r>
      <w:r w:rsidR="003A6D36">
        <w:rPr>
          <w:rStyle w:val="PlaceholderText"/>
          <w:color w:val="auto"/>
        </w:rPr>
        <w:t>supplement</w:t>
      </w:r>
      <w:r w:rsidR="00EE0A84">
        <w:rPr>
          <w:rStyle w:val="PlaceholderText"/>
          <w:color w:val="auto"/>
        </w:rPr>
        <w:t xml:space="preserve"> are:</w:t>
      </w:r>
    </w:p>
    <w:p w14:paraId="208A0EA8" w14:textId="3C69DF0A" w:rsidR="003A6D36" w:rsidRPr="00FE7BB8" w:rsidRDefault="003A6D36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JobSeeker Payment (and payments progressively transi</w:t>
      </w:r>
      <w:r w:rsidR="00A02CC5">
        <w:rPr>
          <w:rStyle w:val="PlaceholderText"/>
          <w:color w:val="auto"/>
        </w:rPr>
        <w:t>tioning into JobSeeker Payment)</w:t>
      </w:r>
    </w:p>
    <w:p w14:paraId="098AA906" w14:textId="06281B9D" w:rsidR="003A6D36" w:rsidRPr="00FE7BB8" w:rsidRDefault="003A6D36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 xml:space="preserve">Youth Allowance </w:t>
      </w:r>
      <w:r w:rsidR="006F11E9" w:rsidRPr="00FE7BB8">
        <w:rPr>
          <w:rStyle w:val="PlaceholderText"/>
          <w:color w:val="auto"/>
        </w:rPr>
        <w:t>Jobseeker</w:t>
      </w:r>
    </w:p>
    <w:p w14:paraId="30113CEC" w14:textId="050C16B2" w:rsidR="003A6D36" w:rsidRPr="00FE7BB8" w:rsidRDefault="003A6D36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Parenting</w:t>
      </w:r>
      <w:r w:rsidR="00A02CC5">
        <w:rPr>
          <w:rStyle w:val="PlaceholderText"/>
          <w:color w:val="auto"/>
        </w:rPr>
        <w:t xml:space="preserve"> Payment (Partnered and Single)</w:t>
      </w:r>
    </w:p>
    <w:p w14:paraId="14282CAF" w14:textId="6C0DBF3B" w:rsidR="003A6D36" w:rsidRPr="00FE7BB8" w:rsidRDefault="003A6D36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Farm Ho</w:t>
      </w:r>
      <w:r w:rsidR="00A02CC5">
        <w:rPr>
          <w:rStyle w:val="PlaceholderText"/>
          <w:color w:val="auto"/>
        </w:rPr>
        <w:t>usehold Allowance</w:t>
      </w:r>
    </w:p>
    <w:p w14:paraId="29FC4682" w14:textId="30A21E5C" w:rsidR="003A6D36" w:rsidRPr="00FE7BB8" w:rsidRDefault="003A6D36" w:rsidP="00FE7BB8">
      <w:pPr>
        <w:pStyle w:val="Bullet"/>
        <w:rPr>
          <w:rStyle w:val="PlaceholderText"/>
          <w:color w:val="auto"/>
        </w:rPr>
      </w:pPr>
      <w:r w:rsidRPr="00FE7BB8">
        <w:rPr>
          <w:rStyle w:val="PlaceholderText"/>
          <w:color w:val="auto"/>
        </w:rPr>
        <w:t>Sp</w:t>
      </w:r>
      <w:r w:rsidR="0091387D">
        <w:rPr>
          <w:rStyle w:val="PlaceholderText"/>
          <w:color w:val="auto"/>
        </w:rPr>
        <w:t>ecial Benefit</w:t>
      </w:r>
    </w:p>
    <w:p w14:paraId="112F65B7" w14:textId="33C9C4ED" w:rsidR="005333D0" w:rsidRDefault="00180E56" w:rsidP="00FE7BB8">
      <w:r>
        <w:t xml:space="preserve">The second payment </w:t>
      </w:r>
      <w:r w:rsidR="00756B9E">
        <w:t xml:space="preserve">is expected to </w:t>
      </w:r>
      <w:r>
        <w:t>be made to around 5</w:t>
      </w:r>
      <w:r w:rsidRPr="00180E56">
        <w:t xml:space="preserve"> million social security, veteran and other income support recipients and eligible concession card holders.</w:t>
      </w:r>
      <w:r w:rsidR="005333D0">
        <w:t xml:space="preserve"> </w:t>
      </w:r>
      <w:r w:rsidR="005333D0" w:rsidRPr="00180E56">
        <w:t>Around half of those that benefit are pensioners.</w:t>
      </w:r>
    </w:p>
    <w:p w14:paraId="07A3F669" w14:textId="35ED5C11" w:rsidR="001114EA" w:rsidRPr="001114EA" w:rsidRDefault="00DE7F96" w:rsidP="00FE7BB8">
      <w:pPr>
        <w:pStyle w:val="Heading2"/>
      </w:pPr>
      <w:r>
        <w:t xml:space="preserve">TIMING </w:t>
      </w:r>
    </w:p>
    <w:tbl>
      <w:tblPr>
        <w:tblStyle w:val="TableGrid"/>
        <w:tblW w:w="5148" w:type="pct"/>
        <w:tblBorders>
          <w:top w:val="single" w:sz="2" w:space="0" w:color="00827F" w:themeColor="accent3"/>
          <w:left w:val="single" w:sz="2" w:space="0" w:color="00827F" w:themeColor="accent3"/>
          <w:bottom w:val="single" w:sz="2" w:space="0" w:color="00827F" w:themeColor="accent3"/>
          <w:right w:val="single" w:sz="2" w:space="0" w:color="00827F" w:themeColor="accent3"/>
          <w:insideH w:val="single" w:sz="2" w:space="0" w:color="00827F" w:themeColor="accent3"/>
          <w:insideV w:val="single" w:sz="2" w:space="0" w:color="00827F" w:themeColor="accent3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536"/>
        <w:gridCol w:w="2549"/>
      </w:tblGrid>
      <w:tr w:rsidR="00147B2D" w:rsidRPr="00147B2D" w14:paraId="3DCBFF37" w14:textId="77777777" w:rsidTr="003A6D36">
        <w:trPr>
          <w:trHeight w:val="556"/>
        </w:trPr>
        <w:tc>
          <w:tcPr>
            <w:tcW w:w="1428" w:type="pct"/>
            <w:shd w:val="clear" w:color="auto" w:fill="00827F" w:themeFill="accent3"/>
            <w:vAlign w:val="center"/>
          </w:tcPr>
          <w:p w14:paraId="7FBDA604" w14:textId="7CCB3D21" w:rsidR="004E083F" w:rsidRPr="00147B2D" w:rsidRDefault="004E083F" w:rsidP="00147B2D">
            <w:pPr>
              <w:pStyle w:val="Tablecolumnheading"/>
              <w:rPr>
                <w:sz w:val="22"/>
                <w:szCs w:val="22"/>
              </w:rPr>
            </w:pPr>
          </w:p>
        </w:tc>
        <w:tc>
          <w:tcPr>
            <w:tcW w:w="2287" w:type="pct"/>
            <w:shd w:val="clear" w:color="auto" w:fill="00827F" w:themeFill="accent3"/>
            <w:vAlign w:val="center"/>
          </w:tcPr>
          <w:p w14:paraId="2996E7F5" w14:textId="4B12AACD" w:rsidR="004E083F" w:rsidRPr="00147B2D" w:rsidRDefault="00147B2D" w:rsidP="00147B2D">
            <w:pPr>
              <w:pStyle w:val="Tablecolumnheading"/>
              <w:rPr>
                <w:sz w:val="22"/>
                <w:szCs w:val="22"/>
              </w:rPr>
            </w:pPr>
            <w:r w:rsidRPr="00147B2D">
              <w:rPr>
                <w:sz w:val="22"/>
                <w:szCs w:val="22"/>
              </w:rPr>
              <w:t>Timing</w:t>
            </w:r>
          </w:p>
        </w:tc>
        <w:tc>
          <w:tcPr>
            <w:tcW w:w="1285" w:type="pct"/>
            <w:shd w:val="clear" w:color="auto" w:fill="00827F" w:themeFill="accent3"/>
            <w:vAlign w:val="center"/>
          </w:tcPr>
          <w:p w14:paraId="1D4D6943" w14:textId="149C3F94" w:rsidR="004E083F" w:rsidRPr="00147B2D" w:rsidRDefault="00147B2D" w:rsidP="00147B2D">
            <w:pPr>
              <w:pStyle w:val="Tablecolumnheading"/>
              <w:rPr>
                <w:sz w:val="22"/>
                <w:szCs w:val="22"/>
              </w:rPr>
            </w:pPr>
            <w:r w:rsidRPr="00147B2D">
              <w:rPr>
                <w:sz w:val="22"/>
                <w:szCs w:val="22"/>
              </w:rPr>
              <w:t xml:space="preserve">Budget </w:t>
            </w:r>
            <w:r>
              <w:rPr>
                <w:sz w:val="22"/>
                <w:szCs w:val="22"/>
              </w:rPr>
              <w:t>impact</w:t>
            </w:r>
          </w:p>
        </w:tc>
      </w:tr>
      <w:tr w:rsidR="00147B2D" w:rsidRPr="00244BFA" w14:paraId="46C96B40" w14:textId="77777777" w:rsidTr="003A6D36">
        <w:trPr>
          <w:trHeight w:val="377"/>
        </w:trPr>
        <w:tc>
          <w:tcPr>
            <w:tcW w:w="1428" w:type="pct"/>
            <w:shd w:val="clear" w:color="auto" w:fill="FFFFFF" w:themeFill="background1"/>
            <w:vAlign w:val="center"/>
          </w:tcPr>
          <w:p w14:paraId="560AAC95" w14:textId="743735C5" w:rsidR="004E083F" w:rsidRPr="00CB7AE1" w:rsidRDefault="004E083F" w:rsidP="00CB7AE1">
            <w:pPr>
              <w:spacing w:before="40" w:after="40"/>
              <w:jc w:val="center"/>
              <w:rPr>
                <w:b/>
                <w:szCs w:val="22"/>
              </w:rPr>
            </w:pPr>
            <w:r w:rsidRPr="00147B2D">
              <w:rPr>
                <w:b/>
                <w:szCs w:val="22"/>
              </w:rPr>
              <w:t>First Payment</w:t>
            </w:r>
          </w:p>
        </w:tc>
        <w:tc>
          <w:tcPr>
            <w:tcW w:w="2287" w:type="pct"/>
            <w:shd w:val="clear" w:color="auto" w:fill="FFFFFF" w:themeFill="background1"/>
            <w:vAlign w:val="center"/>
          </w:tcPr>
          <w:p w14:paraId="728BB488" w14:textId="63E7F4D8" w:rsidR="004E083F" w:rsidRPr="00244BFA" w:rsidRDefault="00147B2D" w:rsidP="008E2BDB">
            <w:pPr>
              <w:spacing w:before="40" w:after="40"/>
              <w:jc w:val="center"/>
              <w:rPr>
                <w:sz w:val="20"/>
              </w:rPr>
            </w:pPr>
            <w:r>
              <w:t>P</w:t>
            </w:r>
            <w:r w:rsidRPr="003D0300">
              <w:t>aid automatically from 31 March</w:t>
            </w:r>
            <w:r w:rsidR="003A6874">
              <w:t xml:space="preserve"> 2020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7499AE87" w14:textId="3A03F229" w:rsidR="004E083F" w:rsidRPr="00147B2D" w:rsidRDefault="00147B2D" w:rsidP="00E93B86">
            <w:pPr>
              <w:spacing w:before="40" w:after="40"/>
              <w:jc w:val="center"/>
              <w:rPr>
                <w:szCs w:val="22"/>
              </w:rPr>
            </w:pPr>
            <w:r w:rsidRPr="008E2BDB">
              <w:rPr>
                <w:szCs w:val="22"/>
              </w:rPr>
              <w:t>$4.</w:t>
            </w:r>
            <w:r w:rsidR="00551D2E">
              <w:rPr>
                <w:szCs w:val="22"/>
              </w:rPr>
              <w:t>8</w:t>
            </w:r>
            <w:r w:rsidRPr="00147B2D">
              <w:rPr>
                <w:szCs w:val="22"/>
              </w:rPr>
              <w:t xml:space="preserve"> billion</w:t>
            </w:r>
          </w:p>
        </w:tc>
      </w:tr>
      <w:tr w:rsidR="004E083F" w:rsidRPr="00244BFA" w14:paraId="10E098A8" w14:textId="77777777" w:rsidTr="003A6D36">
        <w:trPr>
          <w:trHeight w:val="377"/>
        </w:trPr>
        <w:tc>
          <w:tcPr>
            <w:tcW w:w="1428" w:type="pct"/>
            <w:shd w:val="clear" w:color="auto" w:fill="FFFFFF" w:themeFill="background1"/>
            <w:vAlign w:val="center"/>
          </w:tcPr>
          <w:p w14:paraId="13C52136" w14:textId="66D2E044" w:rsidR="004E083F" w:rsidRPr="00CB7AE1" w:rsidRDefault="00147B2D" w:rsidP="00CB7AE1">
            <w:pPr>
              <w:spacing w:before="40" w:after="40"/>
              <w:jc w:val="center"/>
              <w:rPr>
                <w:b/>
                <w:szCs w:val="22"/>
              </w:rPr>
            </w:pPr>
            <w:r w:rsidRPr="00147B2D">
              <w:rPr>
                <w:b/>
                <w:szCs w:val="22"/>
              </w:rPr>
              <w:t>Second Payment</w:t>
            </w:r>
          </w:p>
        </w:tc>
        <w:tc>
          <w:tcPr>
            <w:tcW w:w="2287" w:type="pct"/>
            <w:shd w:val="clear" w:color="auto" w:fill="FFFFFF" w:themeFill="background1"/>
            <w:vAlign w:val="center"/>
          </w:tcPr>
          <w:p w14:paraId="0C97E17F" w14:textId="780B5903" w:rsidR="004E083F" w:rsidRDefault="00147B2D" w:rsidP="00147B2D">
            <w:pPr>
              <w:spacing w:before="40" w:after="40"/>
              <w:jc w:val="center"/>
              <w:rPr>
                <w:sz w:val="20"/>
              </w:rPr>
            </w:pPr>
            <w:r>
              <w:t>P</w:t>
            </w:r>
            <w:r w:rsidRPr="003D0300">
              <w:t xml:space="preserve">aid automatically from </w:t>
            </w:r>
            <w:r w:rsidR="007B244D">
              <w:t>13 July 2020</w:t>
            </w:r>
          </w:p>
        </w:tc>
        <w:tc>
          <w:tcPr>
            <w:tcW w:w="1285" w:type="pct"/>
            <w:shd w:val="clear" w:color="auto" w:fill="FFFFFF" w:themeFill="background1"/>
            <w:vAlign w:val="center"/>
          </w:tcPr>
          <w:p w14:paraId="39B2868D" w14:textId="3946C8CF" w:rsidR="004E083F" w:rsidRDefault="00147B2D" w:rsidP="00E93B86">
            <w:pPr>
              <w:spacing w:before="40" w:after="40"/>
              <w:jc w:val="center"/>
              <w:rPr>
                <w:sz w:val="20"/>
              </w:rPr>
            </w:pPr>
            <w:r w:rsidRPr="008E2BDB">
              <w:rPr>
                <w:rStyle w:val="PlaceholderText"/>
                <w:color w:val="auto"/>
              </w:rPr>
              <w:t>$</w:t>
            </w:r>
            <w:r w:rsidR="00E93B86">
              <w:rPr>
                <w:rStyle w:val="PlaceholderText"/>
                <w:color w:val="auto"/>
              </w:rPr>
              <w:t xml:space="preserve">4.0 </w:t>
            </w:r>
            <w:r w:rsidRPr="003D0300">
              <w:rPr>
                <w:rStyle w:val="PlaceholderText"/>
                <w:color w:val="auto"/>
              </w:rPr>
              <w:t>billion</w:t>
            </w:r>
          </w:p>
        </w:tc>
      </w:tr>
    </w:tbl>
    <w:p w14:paraId="1CC90A55" w14:textId="61ABBD3E" w:rsidR="00756B9E" w:rsidRDefault="007703D1" w:rsidP="00756B9E">
      <w:r>
        <w:t>P</w:t>
      </w:r>
      <w:r w:rsidR="00147B2D">
        <w:t xml:space="preserve">ayments will be made by </w:t>
      </w:r>
      <w:r w:rsidR="00147B2D" w:rsidRPr="003D0300">
        <w:t>Services Australia or the Department of Veterans</w:t>
      </w:r>
      <w:r w:rsidR="00A02CC5">
        <w:t>’</w:t>
      </w:r>
      <w:r w:rsidR="00147B2D" w:rsidRPr="003D0300">
        <w:t xml:space="preserve"> Affairs</w:t>
      </w:r>
      <w:r w:rsidR="00147B2D">
        <w:t>.</w:t>
      </w:r>
      <w:r w:rsidR="00756B9E" w:rsidRPr="00756B9E">
        <w:t xml:space="preserve"> </w:t>
      </w:r>
    </w:p>
    <w:p w14:paraId="598F35C2" w14:textId="099910EE" w:rsidR="00756B9E" w:rsidRDefault="00756B9E" w:rsidP="00756B9E">
      <w:r w:rsidRPr="003D0300">
        <w:t xml:space="preserve">If you are a holder of a </w:t>
      </w:r>
      <w:r>
        <w:t xml:space="preserve">Veteran </w:t>
      </w:r>
      <w:r w:rsidRPr="003D0300">
        <w:t>Gold Card, we will contact you to confirm your account details so the payment can be made as soon as possible.</w:t>
      </w:r>
    </w:p>
    <w:p w14:paraId="502B2026" w14:textId="77777777" w:rsidR="001114EA" w:rsidRDefault="001114EA" w:rsidP="00FE7BB8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7E1E1"/>
        <w:tblLook w:val="04A0" w:firstRow="1" w:lastRow="0" w:firstColumn="1" w:lastColumn="0" w:noHBand="0" w:noVBand="1"/>
      </w:tblPr>
      <w:tblGrid>
        <w:gridCol w:w="9629"/>
      </w:tblGrid>
      <w:tr w:rsidR="00B13062" w14:paraId="64AC28F6" w14:textId="77777777" w:rsidTr="004E61C9">
        <w:tc>
          <w:tcPr>
            <w:tcW w:w="9629" w:type="dxa"/>
            <w:shd w:val="clear" w:color="auto" w:fill="D7E1E1"/>
          </w:tcPr>
          <w:p w14:paraId="09F33338" w14:textId="06C6E1B5" w:rsidR="00B13062" w:rsidRPr="00B04A10" w:rsidRDefault="00B13062" w:rsidP="00B3560D">
            <w:pPr>
              <w:pStyle w:val="Boxheading"/>
              <w:rPr>
                <w:b w:val="0"/>
              </w:rPr>
            </w:pPr>
            <w:r w:rsidRPr="007B4153">
              <w:rPr>
                <w:rStyle w:val="PlaceholderText"/>
                <w:color w:val="00827F" w:themeColor="accent3"/>
              </w:rPr>
              <w:t>Example</w:t>
            </w:r>
            <w:r w:rsidR="00A02CC5">
              <w:rPr>
                <w:rStyle w:val="PlaceholderText"/>
                <w:color w:val="00827F" w:themeColor="accent3"/>
              </w:rPr>
              <w:t xml:space="preserve"> — </w:t>
            </w:r>
            <w:r>
              <w:rPr>
                <w:rStyle w:val="PlaceholderText"/>
                <w:color w:val="00827F" w:themeColor="accent3"/>
              </w:rPr>
              <w:t xml:space="preserve">First </w:t>
            </w:r>
            <w:r w:rsidR="00CB7AE1" w:rsidRPr="00B3560D">
              <w:rPr>
                <w:rStyle w:val="PlaceholderText"/>
                <w:color w:val="00827F" w:themeColor="accent3"/>
              </w:rPr>
              <w:t>a</w:t>
            </w:r>
            <w:r w:rsidRPr="00B3560D">
              <w:rPr>
                <w:rStyle w:val="PlaceholderText"/>
                <w:color w:val="00827F" w:themeColor="accent3"/>
              </w:rPr>
              <w:t>nd</w:t>
            </w:r>
            <w:r>
              <w:rPr>
                <w:rStyle w:val="PlaceholderText"/>
                <w:color w:val="00827F" w:themeColor="accent3"/>
              </w:rPr>
              <w:t xml:space="preserve"> </w:t>
            </w:r>
            <w:r w:rsidR="00CB7AE1">
              <w:rPr>
                <w:rStyle w:val="PlaceholderText"/>
                <w:color w:val="00827F" w:themeColor="accent3"/>
              </w:rPr>
              <w:t>s</w:t>
            </w:r>
            <w:r>
              <w:rPr>
                <w:rStyle w:val="PlaceholderText"/>
                <w:color w:val="00827F" w:themeColor="accent3"/>
              </w:rPr>
              <w:t>econd payment</w:t>
            </w:r>
          </w:p>
          <w:p w14:paraId="5200A5F0" w14:textId="7A6591C6" w:rsidR="00B13062" w:rsidRDefault="00B13062" w:rsidP="004E61C9">
            <w:pPr>
              <w:spacing w:after="240"/>
            </w:pPr>
            <w:r w:rsidRPr="00473804">
              <w:t>Kate and Angus are a couple and are both Age Pension recipients as at 12 March 2020. Kate and Angus will each receive $750, so their household will receive $1,500 in total</w:t>
            </w:r>
            <w:r w:rsidR="00A02CC5">
              <w:t xml:space="preserve">. </w:t>
            </w:r>
            <w:r w:rsidRPr="00473804">
              <w:t>Payments to Kate and Angus wil</w:t>
            </w:r>
            <w:r>
              <w:t>l be made automatically from 31 </w:t>
            </w:r>
            <w:r w:rsidRPr="00473804">
              <w:t>March 2020.</w:t>
            </w:r>
          </w:p>
          <w:p w14:paraId="7DEAC3AC" w14:textId="5D750C5D" w:rsidR="00B13062" w:rsidRDefault="00B13062" w:rsidP="004E61C9">
            <w:pPr>
              <w:spacing w:after="240"/>
            </w:pPr>
            <w:r>
              <w:t xml:space="preserve">As Kate and Angus remain both </w:t>
            </w:r>
            <w:r w:rsidRPr="00473804">
              <w:t>a couple and Age Pension recipients</w:t>
            </w:r>
            <w:r>
              <w:t xml:space="preserve"> on 1</w:t>
            </w:r>
            <w:r w:rsidR="003A4FD2">
              <w:t>0</w:t>
            </w:r>
            <w:r>
              <w:t xml:space="preserve"> July 2020, they will each be eligible for a further $750 as part of the second payment, </w:t>
            </w:r>
            <w:r w:rsidRPr="00473804">
              <w:t>so their household will receive $1,500 in total</w:t>
            </w:r>
            <w:r>
              <w:t xml:space="preserve"> for the second payment.</w:t>
            </w:r>
          </w:p>
          <w:p w14:paraId="3261955F" w14:textId="0006348A" w:rsidR="00B13062" w:rsidRDefault="00B13062" w:rsidP="00CB7AE1">
            <w:pPr>
              <w:spacing w:after="240"/>
            </w:pPr>
            <w:r>
              <w:t>This will bring the total payment to their household to $3,000, from the first and second payments.</w:t>
            </w:r>
          </w:p>
        </w:tc>
      </w:tr>
    </w:tbl>
    <w:p w14:paraId="577C51ED" w14:textId="77777777" w:rsidR="0096130A" w:rsidRDefault="0096130A" w:rsidP="00B3560D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7E1E1"/>
        <w:tblLook w:val="04A0" w:firstRow="1" w:lastRow="0" w:firstColumn="1" w:lastColumn="0" w:noHBand="0" w:noVBand="1"/>
      </w:tblPr>
      <w:tblGrid>
        <w:gridCol w:w="9629"/>
      </w:tblGrid>
      <w:tr w:rsidR="004F6599" w14:paraId="7824DFFA" w14:textId="77777777" w:rsidTr="0086074A">
        <w:tc>
          <w:tcPr>
            <w:tcW w:w="9629" w:type="dxa"/>
            <w:shd w:val="clear" w:color="auto" w:fill="D7E1E1"/>
          </w:tcPr>
          <w:p w14:paraId="06C44809" w14:textId="15D654AB" w:rsidR="004F6599" w:rsidRPr="00A02CC5" w:rsidRDefault="004F6599" w:rsidP="00A02CC5">
            <w:pPr>
              <w:pStyle w:val="Boxheading"/>
            </w:pPr>
            <w:r w:rsidRPr="00A02CC5">
              <w:t>Example</w:t>
            </w:r>
            <w:r w:rsidR="00A02CC5" w:rsidRPr="00A02CC5">
              <w:t xml:space="preserve"> — </w:t>
            </w:r>
            <w:r w:rsidR="006B00CF" w:rsidRPr="00A02CC5">
              <w:t xml:space="preserve">Interaction between Coronavirus supplement and </w:t>
            </w:r>
            <w:r w:rsidR="00CB7AE1" w:rsidRPr="00A02CC5">
              <w:t>s</w:t>
            </w:r>
            <w:r w:rsidR="006B00CF" w:rsidRPr="00A02CC5">
              <w:t>econd payment</w:t>
            </w:r>
          </w:p>
          <w:p w14:paraId="146809E3" w14:textId="127E060E" w:rsidR="004F6599" w:rsidRDefault="004F6599" w:rsidP="0008608C">
            <w:pPr>
              <w:spacing w:after="240"/>
            </w:pPr>
            <w:r>
              <w:t xml:space="preserve">Leanne is </w:t>
            </w:r>
            <w:r w:rsidR="0008608C">
              <w:t xml:space="preserve">a single parent </w:t>
            </w:r>
            <w:r>
              <w:t xml:space="preserve">JobSeeker Payment recipient on 10 July 2020, receiving </w:t>
            </w:r>
            <w:r w:rsidR="0008608C">
              <w:t>a single, with dependent child, rate of $612 per fortnight, a further $9.50 per fortnight for the Energy Supplement and an additional $550 per fortnight Coronavirus supplement.</w:t>
            </w:r>
          </w:p>
          <w:p w14:paraId="608861CA" w14:textId="36D5D5B0" w:rsidR="0008608C" w:rsidRDefault="00EE0A84" w:rsidP="0008608C">
            <w:pPr>
              <w:spacing w:after="240"/>
            </w:pPr>
            <w:r>
              <w:lastRenderedPageBreak/>
              <w:t xml:space="preserve">This brings </w:t>
            </w:r>
            <w:r w:rsidR="0008608C">
              <w:t>Leanne</w:t>
            </w:r>
            <w:r w:rsidR="00A02CC5">
              <w:t>’</w:t>
            </w:r>
            <w:r w:rsidR="0008608C">
              <w:t>s fortnight</w:t>
            </w:r>
            <w:r w:rsidR="00F3148B">
              <w:t>ly</w:t>
            </w:r>
            <w:r w:rsidR="0008608C">
              <w:t xml:space="preserve"> income support payment </w:t>
            </w:r>
            <w:r>
              <w:t xml:space="preserve">to </w:t>
            </w:r>
            <w:r w:rsidR="00F3148B">
              <w:t>$1,171.50.</w:t>
            </w:r>
          </w:p>
          <w:p w14:paraId="44739D06" w14:textId="286B05A2" w:rsidR="00DB5132" w:rsidRDefault="00DB5132" w:rsidP="0008608C">
            <w:pPr>
              <w:spacing w:after="240"/>
            </w:pPr>
            <w:r>
              <w:t>Leanne was in receipt of the Jobseeker Payment on 30 March, so she was eligible for the first $750 payment.</w:t>
            </w:r>
            <w:bookmarkStart w:id="0" w:name="_GoBack"/>
            <w:bookmarkEnd w:id="0"/>
          </w:p>
          <w:p w14:paraId="330C40F6" w14:textId="71B4CD29" w:rsidR="00F3148B" w:rsidRDefault="00F3148B" w:rsidP="00CB7AE1">
            <w:pPr>
              <w:spacing w:after="240"/>
            </w:pPr>
            <w:r>
              <w:t xml:space="preserve">As Leanne </w:t>
            </w:r>
            <w:r w:rsidR="00426B2F">
              <w:t xml:space="preserve">already </w:t>
            </w:r>
            <w:r>
              <w:t xml:space="preserve">receives the $550 per fortnight Coronavirus supplement, she will not be eligible for the second </w:t>
            </w:r>
            <w:r w:rsidR="003A6874">
              <w:t xml:space="preserve">$750 </w:t>
            </w:r>
            <w:r>
              <w:t>payment.</w:t>
            </w:r>
          </w:p>
        </w:tc>
      </w:tr>
    </w:tbl>
    <w:p w14:paraId="3C7CFDAA" w14:textId="6BF89F00" w:rsidR="00C54D58" w:rsidRDefault="00D60CF6" w:rsidP="00C54D58">
      <w:pPr>
        <w:pStyle w:val="Heading2"/>
        <w:rPr>
          <w:rFonts w:asciiTheme="minorHAnsi" w:eastAsiaTheme="minorEastAsia" w:hAnsiTheme="minorHAnsi" w:cs="Times New Roman"/>
          <w:caps w:val="0"/>
          <w:color w:val="auto"/>
          <w:sz w:val="22"/>
          <w:szCs w:val="20"/>
        </w:rPr>
      </w:pPr>
      <w:r>
        <w:lastRenderedPageBreak/>
        <w:t>for more information</w:t>
      </w:r>
    </w:p>
    <w:p w14:paraId="6B1F5F6F" w14:textId="7D073F40" w:rsidR="00171DE5" w:rsidRDefault="003D0300" w:rsidP="00314911">
      <w:r w:rsidRPr="00CB3672">
        <w:t>For more information on the Australian Government</w:t>
      </w:r>
      <w:r w:rsidR="00A02CC5">
        <w:t>’</w:t>
      </w:r>
      <w:r w:rsidRPr="00CB3672">
        <w:t xml:space="preserve">s Economic Response to </w:t>
      </w:r>
      <w:r w:rsidR="00C519C7">
        <w:t xml:space="preserve">the </w:t>
      </w:r>
      <w:r w:rsidR="00AF3FE0">
        <w:t>Coronavirus</w:t>
      </w:r>
      <w:r w:rsidR="00E70BFC">
        <w:t xml:space="preserve"> visit </w:t>
      </w:r>
      <w:hyperlink r:id="rId19" w:history="1">
        <w:r w:rsidRPr="00A02CC5">
          <w:rPr>
            <w:rStyle w:val="Hyperlink"/>
          </w:rPr>
          <w:t>treasury.gov.au/</w:t>
        </w:r>
        <w:r w:rsidR="00032F47" w:rsidRPr="00A02CC5">
          <w:rPr>
            <w:rStyle w:val="Hyperlink"/>
          </w:rPr>
          <w:t>coronavirus</w:t>
        </w:r>
      </w:hyperlink>
      <w:r>
        <w:t>.</w:t>
      </w:r>
    </w:p>
    <w:p w14:paraId="410177EE" w14:textId="77777777" w:rsidR="00171DE5" w:rsidRDefault="00171DE5">
      <w:pPr>
        <w:spacing w:before="0" w:after="0"/>
      </w:pPr>
      <w:r>
        <w:br w:type="page"/>
      </w:r>
    </w:p>
    <w:p w14:paraId="1FC6146B" w14:textId="50BDF0AE" w:rsidR="006A2D18" w:rsidRDefault="003A6874" w:rsidP="00300E4E">
      <w:pPr>
        <w:pStyle w:val="Heading2"/>
        <w:spacing w:before="20" w:after="20"/>
        <w:rPr>
          <w:rFonts w:asciiTheme="minorHAnsi" w:eastAsiaTheme="minorEastAsia" w:hAnsiTheme="minorHAnsi" w:cs="Times New Roman"/>
          <w:caps w:val="0"/>
          <w:color w:val="auto"/>
          <w:sz w:val="22"/>
          <w:szCs w:val="20"/>
        </w:rPr>
      </w:pPr>
      <w:r>
        <w:lastRenderedPageBreak/>
        <w:t xml:space="preserve">BENEFITS </w:t>
      </w:r>
      <w:r w:rsidR="006A2D18">
        <w:t>eligible for economic support payments</w:t>
      </w:r>
    </w:p>
    <w:tbl>
      <w:tblPr>
        <w:tblStyle w:val="TableGrid"/>
        <w:tblW w:w="5002" w:type="pct"/>
        <w:tblBorders>
          <w:top w:val="single" w:sz="2" w:space="0" w:color="00827F" w:themeColor="accent3"/>
          <w:left w:val="single" w:sz="2" w:space="0" w:color="00827F" w:themeColor="accent3"/>
          <w:bottom w:val="single" w:sz="2" w:space="0" w:color="00827F" w:themeColor="accent3"/>
          <w:right w:val="single" w:sz="2" w:space="0" w:color="00827F" w:themeColor="accent3"/>
          <w:insideH w:val="single" w:sz="2" w:space="0" w:color="00827F" w:themeColor="accent3"/>
          <w:insideV w:val="single" w:sz="2" w:space="0" w:color="00827F" w:themeColor="accent3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2002"/>
        <w:gridCol w:w="2002"/>
        <w:gridCol w:w="2002"/>
      </w:tblGrid>
      <w:tr w:rsidR="00B3560D" w:rsidRPr="00147B2D" w14:paraId="64C0F6B8" w14:textId="0E715FE1" w:rsidTr="00B3560D">
        <w:trPr>
          <w:trHeight w:val="556"/>
        </w:trPr>
        <w:tc>
          <w:tcPr>
            <w:tcW w:w="1883" w:type="pct"/>
            <w:shd w:val="clear" w:color="auto" w:fill="00827F" w:themeFill="accent3"/>
            <w:vAlign w:val="center"/>
          </w:tcPr>
          <w:p w14:paraId="630074A2" w14:textId="18904307" w:rsidR="0096130A" w:rsidRPr="00147B2D" w:rsidRDefault="0096130A" w:rsidP="00B3560D">
            <w:pPr>
              <w:pStyle w:val="Tablecolumnheading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/ card</w:t>
            </w:r>
          </w:p>
        </w:tc>
        <w:tc>
          <w:tcPr>
            <w:tcW w:w="1039" w:type="pct"/>
            <w:shd w:val="clear" w:color="auto" w:fill="00827F" w:themeFill="accent3"/>
            <w:vAlign w:val="center"/>
          </w:tcPr>
          <w:p w14:paraId="23876031" w14:textId="386E3C49" w:rsidR="0096130A" w:rsidRPr="00147B2D" w:rsidRDefault="0096130A" w:rsidP="00300E4E">
            <w:pPr>
              <w:pStyle w:val="Tablecolumnheading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First Economic Support Payment</w:t>
            </w:r>
          </w:p>
        </w:tc>
        <w:tc>
          <w:tcPr>
            <w:tcW w:w="1039" w:type="pct"/>
            <w:shd w:val="clear" w:color="auto" w:fill="00827F" w:themeFill="accent3"/>
            <w:vAlign w:val="center"/>
          </w:tcPr>
          <w:p w14:paraId="1B81FC83" w14:textId="70D60A9B" w:rsidR="0096130A" w:rsidRPr="00147B2D" w:rsidRDefault="0096130A" w:rsidP="00300E4E">
            <w:pPr>
              <w:pStyle w:val="Tablecolumnheading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Second Economic Support Payment</w:t>
            </w:r>
          </w:p>
        </w:tc>
        <w:tc>
          <w:tcPr>
            <w:tcW w:w="1039" w:type="pct"/>
            <w:shd w:val="clear" w:color="auto" w:fill="00827F" w:themeFill="accent3"/>
            <w:vAlign w:val="center"/>
          </w:tcPr>
          <w:p w14:paraId="2E7800DF" w14:textId="6C97E236" w:rsidR="0096130A" w:rsidRDefault="003A4FD2" w:rsidP="00B3560D">
            <w:pPr>
              <w:pStyle w:val="Tablecolumnheading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Eligible for </w:t>
            </w:r>
            <w:r w:rsidR="0096130A">
              <w:rPr>
                <w:sz w:val="22"/>
                <w:szCs w:val="22"/>
              </w:rPr>
              <w:t>Coronavirus supplement</w:t>
            </w:r>
          </w:p>
        </w:tc>
      </w:tr>
      <w:tr w:rsidR="00B3560D" w:rsidRPr="00244BFA" w14:paraId="3A8D0638" w14:textId="112EDD2B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59C5D579" w14:textId="5E61DB03" w:rsidR="0096130A" w:rsidRPr="00CB7AE1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Age Pension</w:t>
            </w:r>
            <w:r w:rsidRPr="00147B2D" w:rsidDel="006A2D18">
              <w:rPr>
                <w:b/>
                <w:szCs w:val="22"/>
              </w:rPr>
              <w:t xml:space="preserve"> 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59B5AA0" w14:textId="27B700CA" w:rsidR="0096130A" w:rsidRPr="00AC10FB" w:rsidRDefault="0096130A" w:rsidP="00300E4E">
            <w:pPr>
              <w:spacing w:before="20" w:after="20"/>
              <w:jc w:val="center"/>
              <w:rPr>
                <w:b/>
                <w:sz w:val="20"/>
              </w:rPr>
            </w:pPr>
            <w:r w:rsidRPr="00AC10FB">
              <w:rPr>
                <w:rStyle w:val="PlaceholderText"/>
                <w:b/>
                <w:color w:val="auto"/>
              </w:rPr>
              <w:sym w:font="Wingdings" w:char="F0FC"/>
            </w:r>
            <w:r w:rsidRPr="00AC10FB" w:rsidDel="006A2D18">
              <w:rPr>
                <w:b/>
              </w:rPr>
              <w:t xml:space="preserve"> 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3F07389" w14:textId="32A60825" w:rsidR="0096130A" w:rsidRPr="00AC10FB" w:rsidRDefault="0096130A" w:rsidP="00300E4E">
            <w:pPr>
              <w:spacing w:before="20" w:after="20"/>
              <w:jc w:val="center"/>
              <w:rPr>
                <w:b/>
                <w:szCs w:val="22"/>
              </w:rPr>
            </w:pPr>
            <w:r w:rsidRPr="00AC10FB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4DE7658E" w14:textId="77777777" w:rsidR="0096130A" w:rsidRPr="00AC10FB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580713B0" w14:textId="1C5532FA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4F3455B4" w14:textId="26934737" w:rsidR="0096130A" w:rsidRPr="00CB7AE1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Disability Support Pension</w:t>
            </w:r>
            <w:r w:rsidRPr="00147B2D" w:rsidDel="006A2D18">
              <w:rPr>
                <w:b/>
                <w:szCs w:val="22"/>
              </w:rPr>
              <w:t xml:space="preserve"> 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5C8BF8C" w14:textId="32A09D95" w:rsidR="0096130A" w:rsidRDefault="0096130A" w:rsidP="00300E4E">
            <w:pPr>
              <w:spacing w:before="20" w:after="20"/>
              <w:jc w:val="center"/>
              <w:rPr>
                <w:sz w:val="20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  <w:r w:rsidRPr="002F74E8" w:rsidDel="006A2D18">
              <w:rPr>
                <w:b/>
              </w:rPr>
              <w:t xml:space="preserve"> 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1691994" w14:textId="33D747C4" w:rsidR="0096130A" w:rsidRDefault="0096130A" w:rsidP="00300E4E">
            <w:pPr>
              <w:spacing w:before="20" w:after="20"/>
              <w:jc w:val="center"/>
              <w:rPr>
                <w:sz w:val="20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B91580C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65514766" w14:textId="496AEB39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3FADD296" w14:textId="3EBB1316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Carer Payment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A748BFA" w14:textId="42814FF1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  <w:r w:rsidRPr="002F74E8" w:rsidDel="006A2D18">
              <w:rPr>
                <w:b/>
              </w:rPr>
              <w:t xml:space="preserve"> 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342AB43D" w14:textId="52C084FF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5CEC532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252E6873" w14:textId="20EF51CC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7A2CF994" w14:textId="11AA7112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Parenting Payment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2A6FA7B1" w14:textId="54195D94" w:rsidR="0096130A" w:rsidRPr="00AC10FB" w:rsidDel="006A2D18" w:rsidRDefault="0096130A" w:rsidP="00300E4E">
            <w:pPr>
              <w:spacing w:before="20" w:after="20"/>
              <w:jc w:val="center"/>
              <w:rPr>
                <w:highlight w:val="lightGray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880EDC5" w14:textId="0A3FFEA9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821CA1E" w14:textId="249D37B7" w:rsidR="0096130A" w:rsidRPr="008E2BDB" w:rsidDel="006A2D18" w:rsidRDefault="0096130A" w:rsidP="00B3560D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AC10FB">
              <w:rPr>
                <w:rStyle w:val="PlaceholderText"/>
                <w:b/>
                <w:color w:val="auto"/>
              </w:rPr>
              <w:sym w:font="Wingdings" w:char="F0FC"/>
            </w:r>
          </w:p>
        </w:tc>
      </w:tr>
      <w:tr w:rsidR="00B3560D" w:rsidRPr="00244BFA" w14:paraId="2AFE383C" w14:textId="67974832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19378676" w14:textId="5C0B4C98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Wife Pension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22E0D6D" w14:textId="6CFD5F31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3BC5B6AF" w14:textId="68477AD0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31B99F06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21AFE8F0" w14:textId="1D0A3791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75C02C69" w14:textId="58CD92E3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Widow B Pension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6874B772" w14:textId="3D2C3F18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60AE81A1" w14:textId="34CFC529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C028148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6AAB99FD" w14:textId="3981A2BA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748804CB" w14:textId="470C34C5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ABSTUDY (Living Allowance</w:t>
            </w:r>
            <w:r w:rsidRPr="007B4153">
              <w:rPr>
                <w:rStyle w:val="PlaceholderText"/>
                <w:color w:val="auto"/>
              </w:rPr>
              <w:t>)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12CD623" w14:textId="5C016B4C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501FAFE4" w14:textId="3B24FAA7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3D4C9D3A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60CB02BE" w14:textId="776E2F36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543F68C8" w14:textId="192CCEDB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Austudy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FA3B3C0" w14:textId="720BB5C4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66338039" w14:textId="3A746206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59161BD5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3746EAB0" w14:textId="62CDE30A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3D517D75" w14:textId="365EDAC4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Bereavement Allowance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A46D3CE" w14:textId="5AF66265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A389208" w14:textId="6CC6A396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F8BD08D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41760CAA" w14:textId="61CE262B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36A63B1A" w14:textId="60CBF5EF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Newstart Allowance</w:t>
            </w:r>
            <w:r>
              <w:rPr>
                <w:rStyle w:val="PlaceholderText"/>
                <w:color w:val="auto"/>
              </w:rPr>
              <w:t xml:space="preserve"> /</w:t>
            </w:r>
            <w:r w:rsidR="00B3560D">
              <w:rPr>
                <w:rStyle w:val="PlaceholderText"/>
                <w:color w:val="auto"/>
              </w:rPr>
              <w:br/>
            </w:r>
            <w:r>
              <w:rPr>
                <w:rStyle w:val="PlaceholderText"/>
                <w:color w:val="auto"/>
              </w:rPr>
              <w:t>JobSeeker Payment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22363422" w14:textId="2EB8F5FB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47AAE1B" w14:textId="1BC34EF6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3C9B1EDB" w14:textId="1DCADD3A" w:rsidR="0096130A" w:rsidRPr="008E2BDB" w:rsidDel="006A2D18" w:rsidRDefault="0096130A" w:rsidP="00B3560D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AC10FB">
              <w:rPr>
                <w:rStyle w:val="PlaceholderText"/>
                <w:b/>
                <w:color w:val="auto"/>
              </w:rPr>
              <w:sym w:font="Wingdings" w:char="F0FC"/>
            </w:r>
          </w:p>
        </w:tc>
      </w:tr>
      <w:tr w:rsidR="00B3560D" w:rsidRPr="00244BFA" w14:paraId="6EC8B041" w14:textId="22D17982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14F13066" w14:textId="6A882CEF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Youth Allowance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4C721122" w14:textId="77777777" w:rsidR="0096130A" w:rsidRDefault="0096130A" w:rsidP="00300E4E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  <w:p w14:paraId="03DA7C92" w14:textId="655BB631" w:rsidR="0096130A" w:rsidRPr="00290751" w:rsidDel="006A2D18" w:rsidRDefault="0096130A" w:rsidP="00300E4E">
            <w:pPr>
              <w:spacing w:before="20" w:after="20"/>
              <w:jc w:val="center"/>
            </w:pP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55EBB1E2" w14:textId="77777777" w:rsidR="0096130A" w:rsidRDefault="0096130A" w:rsidP="00300E4E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  <w:p w14:paraId="6FE99366" w14:textId="3149AFCF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color w:val="auto"/>
              </w:rPr>
              <w:t>(Student only)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6A465627" w14:textId="77777777" w:rsidR="00DA6591" w:rsidRDefault="00DA6591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  <w:p w14:paraId="592F249A" w14:textId="65E5EE7A" w:rsidR="0096130A" w:rsidRPr="002F74E8" w:rsidRDefault="00DA6591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  <w:r w:rsidRPr="002F74E8">
              <w:rPr>
                <w:rStyle w:val="PlaceholderText"/>
                <w:color w:val="auto"/>
              </w:rPr>
              <w:t>(</w:t>
            </w:r>
            <w:r>
              <w:rPr>
                <w:rStyle w:val="PlaceholderText"/>
                <w:color w:val="auto"/>
              </w:rPr>
              <w:t>Jobseeker</w:t>
            </w:r>
            <w:r w:rsidRPr="002F74E8">
              <w:rPr>
                <w:rStyle w:val="PlaceholderText"/>
                <w:color w:val="auto"/>
              </w:rPr>
              <w:t>)</w:t>
            </w:r>
          </w:p>
        </w:tc>
      </w:tr>
      <w:tr w:rsidR="00B3560D" w:rsidRPr="00244BFA" w14:paraId="1BE97CAD" w14:textId="6CED508C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241EA5BA" w14:textId="7390347A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Partner Allowance</w:t>
            </w:r>
            <w:r w:rsidR="001975D2">
              <w:rPr>
                <w:rStyle w:val="PlaceholderText"/>
                <w:color w:val="auto"/>
              </w:rPr>
              <w:t xml:space="preserve"> / </w:t>
            </w:r>
            <w:r w:rsidR="00B3560D">
              <w:rPr>
                <w:rStyle w:val="PlaceholderText"/>
                <w:color w:val="auto"/>
              </w:rPr>
              <w:br/>
            </w:r>
            <w:r w:rsidR="001975D2">
              <w:rPr>
                <w:rStyle w:val="PlaceholderText"/>
                <w:color w:val="auto"/>
              </w:rPr>
              <w:t>JobSeeker Payment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46C88AA4" w14:textId="190084D2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67B86A7" w14:textId="5B3B9CF0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6738049E" w14:textId="5DF2BF25" w:rsidR="0096130A" w:rsidRPr="008E2BDB" w:rsidDel="006A2D18" w:rsidRDefault="0096130A" w:rsidP="00B3560D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AC10FB">
              <w:rPr>
                <w:rStyle w:val="PlaceholderText"/>
                <w:b/>
                <w:color w:val="auto"/>
              </w:rPr>
              <w:sym w:font="Wingdings" w:char="F0FC"/>
            </w:r>
          </w:p>
        </w:tc>
      </w:tr>
      <w:tr w:rsidR="00B3560D" w:rsidRPr="00244BFA" w14:paraId="7A0FBB02" w14:textId="53BD6B5D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6760C1AD" w14:textId="5F4302DE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Sickness Allowance</w:t>
            </w:r>
            <w:r w:rsidR="001975D2">
              <w:rPr>
                <w:rStyle w:val="PlaceholderText"/>
                <w:color w:val="auto"/>
              </w:rPr>
              <w:t xml:space="preserve"> / </w:t>
            </w:r>
            <w:r w:rsidR="00B3560D">
              <w:rPr>
                <w:rStyle w:val="PlaceholderText"/>
                <w:color w:val="auto"/>
              </w:rPr>
              <w:br/>
            </w:r>
            <w:r w:rsidR="001975D2">
              <w:rPr>
                <w:rStyle w:val="PlaceholderText"/>
                <w:color w:val="auto"/>
              </w:rPr>
              <w:t>JobSeeker Payment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05F2F8F8" w14:textId="769F449D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554603E1" w14:textId="440B0A84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4CCBD3B" w14:textId="43EC9CB8" w:rsidR="0096130A" w:rsidRPr="008E2BDB" w:rsidDel="006A2D18" w:rsidRDefault="0096130A" w:rsidP="00B3560D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AC10FB">
              <w:rPr>
                <w:rStyle w:val="PlaceholderText"/>
                <w:b/>
                <w:color w:val="auto"/>
              </w:rPr>
              <w:sym w:font="Wingdings" w:char="F0FC"/>
            </w:r>
          </w:p>
        </w:tc>
      </w:tr>
      <w:tr w:rsidR="00B3560D" w:rsidRPr="00244BFA" w14:paraId="2EFF704D" w14:textId="78C3AE7C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488627A0" w14:textId="56A12EEC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Special Benefit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5DAAEE2E" w14:textId="5555DED3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1803860" w14:textId="4D5BC9B4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609B3CD" w14:textId="02308F4E" w:rsidR="0096130A" w:rsidRPr="008E2BDB" w:rsidDel="006A2D18" w:rsidRDefault="0096130A" w:rsidP="00B3560D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AC10FB">
              <w:rPr>
                <w:rStyle w:val="PlaceholderText"/>
                <w:b/>
                <w:color w:val="auto"/>
              </w:rPr>
              <w:sym w:font="Wingdings" w:char="F0FC"/>
            </w:r>
          </w:p>
        </w:tc>
      </w:tr>
      <w:tr w:rsidR="00B3560D" w:rsidRPr="00244BFA" w14:paraId="7811F9FB" w14:textId="7526F82A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18840102" w14:textId="436CAC97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Widow Allowance</w:t>
            </w:r>
            <w:r w:rsidR="001975D2">
              <w:rPr>
                <w:rStyle w:val="PlaceholderText"/>
                <w:color w:val="auto"/>
              </w:rPr>
              <w:t xml:space="preserve"> / </w:t>
            </w:r>
            <w:r w:rsidR="00B3560D">
              <w:rPr>
                <w:rStyle w:val="PlaceholderText"/>
                <w:color w:val="auto"/>
              </w:rPr>
              <w:br/>
            </w:r>
            <w:r w:rsidR="001975D2">
              <w:rPr>
                <w:rStyle w:val="PlaceholderText"/>
                <w:color w:val="auto"/>
              </w:rPr>
              <w:t>JobSeeker Payment</w:t>
            </w:r>
          </w:p>
        </w:tc>
        <w:tc>
          <w:tcPr>
            <w:tcW w:w="1039" w:type="pct"/>
            <w:shd w:val="clear" w:color="auto" w:fill="auto"/>
            <w:vAlign w:val="center"/>
          </w:tcPr>
          <w:p w14:paraId="1B277033" w14:textId="3B1D5403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530814C7" w14:textId="194D074A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30B4BDB" w14:textId="7C340A48" w:rsidR="0096130A" w:rsidRPr="008E2BDB" w:rsidDel="006A2D18" w:rsidRDefault="0096130A" w:rsidP="00B3560D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AC10FB">
              <w:rPr>
                <w:rStyle w:val="PlaceholderText"/>
                <w:b/>
                <w:color w:val="auto"/>
              </w:rPr>
              <w:sym w:font="Wingdings" w:char="F0FC"/>
            </w:r>
          </w:p>
        </w:tc>
      </w:tr>
      <w:tr w:rsidR="00B3560D" w:rsidRPr="00244BFA" w14:paraId="096BF200" w14:textId="6E788CE7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53A5A723" w14:textId="1FC66931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Family Tax Benefit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58AC0011" w14:textId="77777777" w:rsidR="0096130A" w:rsidRDefault="0096130A" w:rsidP="00300E4E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  <w:p w14:paraId="1509CB59" w14:textId="19F81C1A" w:rsidR="0096130A" w:rsidRPr="00290751" w:rsidDel="006A2D18" w:rsidRDefault="0096130A" w:rsidP="00300E4E">
            <w:pPr>
              <w:spacing w:before="20" w:after="20"/>
              <w:jc w:val="center"/>
            </w:pPr>
            <w:r w:rsidRPr="00AC10FB">
              <w:rPr>
                <w:rStyle w:val="PlaceholderText"/>
                <w:color w:val="auto"/>
              </w:rPr>
              <w:t>(Per recipient)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B4C2157" w14:textId="77777777" w:rsidR="0096130A" w:rsidRDefault="0096130A" w:rsidP="00300E4E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  <w:p w14:paraId="33CAE2CF" w14:textId="47925855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color w:val="auto"/>
              </w:rPr>
              <w:t>(Per recipient)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1C264B1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1EF2EF60" w14:textId="48F3A61B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3FE1ABF3" w14:textId="6821D6B6" w:rsidR="0096130A" w:rsidRDefault="0096130A" w:rsidP="00B3560D">
            <w:pPr>
              <w:spacing w:before="20" w:after="20"/>
              <w:rPr>
                <w:rStyle w:val="PlaceholderText"/>
                <w:color w:val="auto"/>
              </w:rPr>
            </w:pPr>
            <w:r w:rsidRPr="00E23346">
              <w:rPr>
                <w:rStyle w:val="PlaceholderText"/>
                <w:color w:val="auto"/>
              </w:rPr>
              <w:t>Double Orphan Pension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4F8E52B5" w14:textId="4E5FF1D0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207C3E5" w14:textId="31892992" w:rsidR="0096130A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46382FC0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69DE9153" w14:textId="4BF1A35F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0D2F9277" w14:textId="41FA57C4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Carer Allowance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8B99505" w14:textId="77777777" w:rsidR="0096130A" w:rsidRDefault="0096130A" w:rsidP="00300E4E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  <w:p w14:paraId="75129600" w14:textId="0296CDC4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color w:val="auto"/>
              </w:rPr>
              <w:t>(Per recipient)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B0A08B5" w14:textId="77777777" w:rsidR="0096130A" w:rsidRDefault="0096130A" w:rsidP="00300E4E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  <w:p w14:paraId="651175BC" w14:textId="4AFCFEE4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color w:val="auto"/>
              </w:rPr>
              <w:t>(Per recipient)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01563E8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5AB22174" w14:textId="24EE5B65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1A7A09CD" w14:textId="278F0EEC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7B4153">
              <w:rPr>
                <w:rStyle w:val="PlaceholderText"/>
                <w:color w:val="auto"/>
              </w:rPr>
              <w:t xml:space="preserve">Pensioner Concession Card </w:t>
            </w:r>
            <w:r>
              <w:rPr>
                <w:rStyle w:val="PlaceholderText"/>
                <w:color w:val="auto"/>
              </w:rPr>
              <w:t xml:space="preserve">(PCC) </w:t>
            </w:r>
            <w:r w:rsidRPr="007B4153">
              <w:rPr>
                <w:rStyle w:val="PlaceholderText"/>
                <w:color w:val="auto"/>
              </w:rPr>
              <w:t>holders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56D6BF7C" w14:textId="3B8FB515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77CD2DD" w14:textId="7269472B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6734E53D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6E8B3DCF" w14:textId="16FC9DCC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7EBA4FAE" w14:textId="2D6CDDF0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Commonwealth Seniors Health Card holders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4C8FBFAB" w14:textId="1D8F997E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41B8EDE5" w14:textId="0CDE9660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43E4AE9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7589875C" w14:textId="74D37A76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6ECF234F" w14:textId="5A547B3B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E23346">
              <w:rPr>
                <w:rStyle w:val="PlaceholderText"/>
                <w:color w:val="auto"/>
              </w:rPr>
              <w:t>Veteran Service Pension</w:t>
            </w:r>
            <w:r w:rsidRPr="007B4153">
              <w:rPr>
                <w:rStyle w:val="PlaceholderText"/>
                <w:color w:val="auto"/>
              </w:rPr>
              <w:t xml:space="preserve">; </w:t>
            </w:r>
            <w:r w:rsidRPr="00E23346">
              <w:rPr>
                <w:rStyle w:val="PlaceholderText"/>
                <w:color w:val="auto"/>
              </w:rPr>
              <w:t>Veteran Income Support Supplement; Veteran Compensation payments,</w:t>
            </w:r>
            <w:r w:rsidRPr="007B4153">
              <w:rPr>
                <w:rStyle w:val="PlaceholderText"/>
                <w:color w:val="auto"/>
              </w:rPr>
              <w:t xml:space="preserve"> including lump sum payments; </w:t>
            </w:r>
            <w:r w:rsidRPr="00E23346">
              <w:rPr>
                <w:rStyle w:val="PlaceholderText"/>
                <w:color w:val="auto"/>
              </w:rPr>
              <w:t>War</w:t>
            </w:r>
            <w:r w:rsidR="00B3560D">
              <w:rPr>
                <w:rStyle w:val="PlaceholderText"/>
                <w:color w:val="auto"/>
              </w:rPr>
              <w:t> </w:t>
            </w:r>
            <w:r w:rsidRPr="00E23346">
              <w:rPr>
                <w:rStyle w:val="PlaceholderText"/>
                <w:color w:val="auto"/>
              </w:rPr>
              <w:t>Widow(er) Pension</w:t>
            </w:r>
            <w:r w:rsidRPr="007B4153">
              <w:rPr>
                <w:rStyle w:val="PlaceholderText"/>
                <w:color w:val="auto"/>
              </w:rPr>
              <w:t>; and Veteran Payment.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B8A8A4F" w14:textId="74B791B9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CE8AEE0" w14:textId="5A9F8831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00E01F7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5F723930" w14:textId="46FC5D25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381AD945" w14:textId="579F7B19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6D4F70">
              <w:rPr>
                <w:rStyle w:val="PlaceholderText"/>
                <w:color w:val="auto"/>
              </w:rPr>
              <w:t>DVA PCC holders; DVA Educatio</w:t>
            </w:r>
            <w:r>
              <w:rPr>
                <w:rStyle w:val="PlaceholderText"/>
                <w:color w:val="auto"/>
              </w:rPr>
              <w:t>n</w:t>
            </w:r>
            <w:r w:rsidRPr="006D4F70">
              <w:rPr>
                <w:rStyle w:val="PlaceholderText"/>
                <w:color w:val="auto"/>
              </w:rPr>
              <w:t xml:space="preserve"> Scheme recipients; Disability Pensioners </w:t>
            </w:r>
            <w:r>
              <w:rPr>
                <w:rStyle w:val="PlaceholderText"/>
                <w:color w:val="auto"/>
              </w:rPr>
              <w:t>at the t</w:t>
            </w:r>
            <w:r w:rsidRPr="006D4F70">
              <w:rPr>
                <w:rStyle w:val="PlaceholderText"/>
                <w:color w:val="auto"/>
              </w:rPr>
              <w:t xml:space="preserve">emporary </w:t>
            </w:r>
            <w:r>
              <w:rPr>
                <w:rStyle w:val="PlaceholderText"/>
                <w:color w:val="auto"/>
              </w:rPr>
              <w:t>s</w:t>
            </w:r>
            <w:r w:rsidRPr="006D4F70">
              <w:rPr>
                <w:rStyle w:val="PlaceholderText"/>
                <w:color w:val="auto"/>
              </w:rPr>
              <w:t xml:space="preserve">pecial </w:t>
            </w:r>
            <w:r>
              <w:rPr>
                <w:rStyle w:val="PlaceholderText"/>
                <w:color w:val="auto"/>
              </w:rPr>
              <w:t>r</w:t>
            </w:r>
            <w:r w:rsidRPr="006D4F70">
              <w:rPr>
                <w:rStyle w:val="PlaceholderText"/>
                <w:color w:val="auto"/>
              </w:rPr>
              <w:t>ate</w:t>
            </w:r>
            <w:r>
              <w:rPr>
                <w:rStyle w:val="PlaceholderText"/>
                <w:color w:val="auto"/>
              </w:rPr>
              <w:t>;</w:t>
            </w:r>
            <w:r w:rsidRPr="006D4F70">
              <w:rPr>
                <w:rStyle w:val="PlaceholderText"/>
                <w:color w:val="auto"/>
              </w:rPr>
              <w:t xml:space="preserve"> DVA Income support pensio</w:t>
            </w:r>
            <w:r>
              <w:rPr>
                <w:rStyle w:val="PlaceholderText"/>
                <w:color w:val="auto"/>
              </w:rPr>
              <w:t xml:space="preserve">ners </w:t>
            </w:r>
            <w:r w:rsidRPr="006D4F70">
              <w:rPr>
                <w:rStyle w:val="PlaceholderText"/>
                <w:color w:val="auto"/>
              </w:rPr>
              <w:t>at $0 rate.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90E07DA" w14:textId="34BE53A4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2A502398" w14:textId="15EC90B6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5A8E3F10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54A19FEB" w14:textId="173A906E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3C08BE67" w14:textId="377B6D85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7B4153">
              <w:rPr>
                <w:rStyle w:val="PlaceholderText"/>
                <w:color w:val="auto"/>
              </w:rPr>
              <w:t>Veteran Gold Card holders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367D58B3" w14:textId="6DC6BA96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1C0985C" w14:textId="7E20EDC9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3CC38222" w14:textId="77777777" w:rsidR="0096130A" w:rsidRPr="002F74E8" w:rsidRDefault="0096130A" w:rsidP="00B3560D">
            <w:pPr>
              <w:spacing w:before="20" w:after="20"/>
              <w:jc w:val="center"/>
              <w:rPr>
                <w:rStyle w:val="PlaceholderText"/>
                <w:b/>
                <w:color w:val="auto"/>
              </w:rPr>
            </w:pPr>
          </w:p>
        </w:tc>
      </w:tr>
      <w:tr w:rsidR="00B3560D" w:rsidRPr="00244BFA" w14:paraId="6666F596" w14:textId="01998017" w:rsidTr="00B3560D">
        <w:trPr>
          <w:trHeight w:val="377"/>
        </w:trPr>
        <w:tc>
          <w:tcPr>
            <w:tcW w:w="1883" w:type="pct"/>
            <w:shd w:val="clear" w:color="auto" w:fill="FFFFFF" w:themeFill="background1"/>
            <w:vAlign w:val="center"/>
          </w:tcPr>
          <w:p w14:paraId="5780D170" w14:textId="71E4CED7" w:rsidR="0096130A" w:rsidRPr="00147B2D" w:rsidDel="006A2D18" w:rsidRDefault="0096130A" w:rsidP="00B3560D">
            <w:pPr>
              <w:spacing w:before="20" w:after="20"/>
              <w:rPr>
                <w:b/>
                <w:szCs w:val="22"/>
              </w:rPr>
            </w:pPr>
            <w:r w:rsidRPr="007B4153">
              <w:rPr>
                <w:rStyle w:val="PlaceholderText"/>
                <w:color w:val="auto"/>
              </w:rPr>
              <w:t>Farm Household Allowance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3EFA915" w14:textId="5E22965A" w:rsidR="0096130A" w:rsidDel="006A2D18" w:rsidRDefault="0096130A" w:rsidP="00300E4E">
            <w:pPr>
              <w:spacing w:before="20" w:after="20"/>
              <w:jc w:val="center"/>
            </w:pPr>
            <w:r w:rsidRPr="002F74E8">
              <w:rPr>
                <w:rStyle w:val="PlaceholderText"/>
                <w:b/>
                <w:color w:val="auto"/>
              </w:rPr>
              <w:sym w:font="Wingdings" w:char="F0FC"/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1C36339E" w14:textId="60257898" w:rsidR="0096130A" w:rsidRPr="008E2BDB" w:rsidDel="006A2D18" w:rsidRDefault="0096130A" w:rsidP="00300E4E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8D3B26B" w14:textId="6C892AD1" w:rsidR="0096130A" w:rsidRDefault="0096130A" w:rsidP="00B3560D">
            <w:pPr>
              <w:spacing w:before="20" w:after="20"/>
              <w:jc w:val="center"/>
              <w:rPr>
                <w:rStyle w:val="PlaceholderText"/>
                <w:color w:val="auto"/>
              </w:rPr>
            </w:pPr>
            <w:r w:rsidRPr="00AC10FB">
              <w:rPr>
                <w:rStyle w:val="PlaceholderText"/>
                <w:b/>
                <w:color w:val="auto"/>
              </w:rPr>
              <w:sym w:font="Wingdings" w:char="F0FC"/>
            </w:r>
          </w:p>
        </w:tc>
      </w:tr>
    </w:tbl>
    <w:p w14:paraId="391A6964" w14:textId="70C86DDE" w:rsidR="00171DE5" w:rsidRPr="00B3560D" w:rsidRDefault="00171DE5" w:rsidP="00314911">
      <w:pPr>
        <w:rPr>
          <w:sz w:val="16"/>
        </w:rPr>
      </w:pPr>
    </w:p>
    <w:sectPr w:rsidR="00171DE5" w:rsidRPr="00B3560D" w:rsidSect="00B3560D">
      <w:footerReference w:type="default" r:id="rId20"/>
      <w:headerReference w:type="first" r:id="rId21"/>
      <w:footerReference w:type="first" r:id="rId22"/>
      <w:type w:val="continuous"/>
      <w:pgSz w:w="11906" w:h="16838" w:code="9"/>
      <w:pgMar w:top="1134" w:right="1134" w:bottom="1021" w:left="1134" w:header="227" w:footer="22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6960" w14:textId="77777777" w:rsidR="004E61C9" w:rsidRDefault="004E61C9" w:rsidP="00F3183C">
      <w:pPr>
        <w:spacing w:before="0" w:after="0"/>
      </w:pPr>
      <w:r>
        <w:separator/>
      </w:r>
    </w:p>
  </w:endnote>
  <w:endnote w:type="continuationSeparator" w:id="0">
    <w:p w14:paraId="489C4858" w14:textId="77777777" w:rsidR="004E61C9" w:rsidRDefault="004E61C9" w:rsidP="00F3183C">
      <w:pPr>
        <w:spacing w:before="0" w:after="0"/>
      </w:pPr>
      <w:r>
        <w:continuationSeparator/>
      </w:r>
    </w:p>
  </w:endnote>
  <w:endnote w:type="continuationNotice" w:id="1">
    <w:p w14:paraId="6C83277D" w14:textId="77777777" w:rsidR="004E61C9" w:rsidRDefault="004E61C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F144" w14:textId="77777777" w:rsidR="00A02CC5" w:rsidRDefault="00A02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409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0DA48" w14:textId="5B0D182C" w:rsidR="004E61C9" w:rsidRDefault="004E61C9" w:rsidP="00CE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C981" w14:textId="3F3D157C" w:rsidR="00B3560D" w:rsidRDefault="00B3560D" w:rsidP="00B3560D">
    <w:pPr>
      <w:pStyle w:val="Footer"/>
      <w:jc w:val="center"/>
      <w:rPr>
        <w:noProof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319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CFDD0" w14:textId="45889AA4" w:rsidR="004E61C9" w:rsidRDefault="004E61C9" w:rsidP="00CE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085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EC8D0" w14:textId="0B5D9C71" w:rsidR="00B3560D" w:rsidRDefault="00B3560D" w:rsidP="00B3560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9DA6" w14:textId="77777777" w:rsidR="004E61C9" w:rsidRDefault="004E61C9" w:rsidP="00F3183C">
      <w:pPr>
        <w:spacing w:before="0" w:after="0"/>
      </w:pPr>
      <w:r>
        <w:separator/>
      </w:r>
    </w:p>
  </w:footnote>
  <w:footnote w:type="continuationSeparator" w:id="0">
    <w:p w14:paraId="3CF3CE62" w14:textId="77777777" w:rsidR="004E61C9" w:rsidRDefault="004E61C9" w:rsidP="00F3183C">
      <w:pPr>
        <w:spacing w:before="0" w:after="0"/>
      </w:pPr>
      <w:r>
        <w:continuationSeparator/>
      </w:r>
    </w:p>
  </w:footnote>
  <w:footnote w:type="continuationNotice" w:id="1">
    <w:p w14:paraId="188281FB" w14:textId="77777777" w:rsidR="004E61C9" w:rsidRDefault="004E61C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F6F6" w14:textId="77777777" w:rsidR="00A02CC5" w:rsidRDefault="00A02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0BD0" w14:textId="77777777" w:rsidR="00A02CC5" w:rsidRDefault="00A02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2F71" w14:textId="01E39E2F" w:rsidR="004E61C9" w:rsidRPr="00F37BE7" w:rsidRDefault="004E61C9" w:rsidP="00F37BE7">
    <w:pPr>
      <w:pStyle w:val="Header"/>
      <w:spacing w:before="840" w:after="240"/>
      <w:rPr>
        <w:rFonts w:asciiTheme="majorHAnsi" w:eastAsiaTheme="majorEastAsia" w:hAnsiTheme="majorHAnsi" w:cstheme="majorBidi"/>
        <w:noProof/>
        <w:color w:val="FFFFFF" w:themeColor="background1"/>
        <w:spacing w:val="-10"/>
        <w:kern w:val="28"/>
        <w:sz w:val="56"/>
        <w:szCs w:val="56"/>
      </w:rPr>
    </w:pPr>
    <w:r w:rsidRPr="00281EE7">
      <w:rPr>
        <w:noProof/>
        <w:sz w:val="14"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281752" wp14:editId="61FA5CE4">
              <wp:simplePos x="0" y="0"/>
              <wp:positionH relativeFrom="margin">
                <wp:align>right</wp:align>
              </wp:positionH>
              <wp:positionV relativeFrom="paragraph">
                <wp:posOffset>-288290</wp:posOffset>
              </wp:positionV>
              <wp:extent cx="3940893" cy="609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0893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CAFBCC" w14:textId="77777777" w:rsidR="004E61C9" w:rsidRDefault="004E61C9" w:rsidP="002C67AE">
                          <w:pPr>
                            <w:pStyle w:val="Title"/>
                            <w:jc w:val="right"/>
                            <w:rPr>
                              <w:sz w:val="32"/>
                            </w:rPr>
                          </w:pPr>
                          <w:r w:rsidRPr="00F37BE7">
                            <w:rPr>
                              <w:sz w:val="28"/>
                            </w:rPr>
                            <w:t>FACT SHEET</w:t>
                          </w:r>
                        </w:p>
                        <w:p w14:paraId="202AABA9" w14:textId="675658AB" w:rsidR="004E61C9" w:rsidRPr="007B4153" w:rsidRDefault="004E61C9" w:rsidP="002C67AE">
                          <w:pPr>
                            <w:pStyle w:val="Title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7B4153">
                            <w:rPr>
                              <w:b/>
                              <w:sz w:val="32"/>
                            </w:rPr>
                            <w:t xml:space="preserve">ECONOMIC RESPONSE TO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THE </w:t>
                          </w:r>
                          <w:r w:rsidRPr="007B4153">
                            <w:rPr>
                              <w:b/>
                              <w:sz w:val="32"/>
                            </w:rPr>
                            <w:t>CORONAVIRUS</w:t>
                          </w:r>
                        </w:p>
                        <w:p w14:paraId="2008311D" w14:textId="77777777" w:rsidR="004E61C9" w:rsidRPr="002C67AE" w:rsidRDefault="004E61C9" w:rsidP="002C67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8175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1pt;margin-top:-22.7pt;width:310.3pt;height:48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" filled="f" stroked="f" strokeweight=".5pt">
              <v:textbox>
                <w:txbxContent>
                  <w:p w14:paraId="62CAFBCC" w14:textId="77777777" w:rsidR="004E61C9" w:rsidRDefault="004E61C9" w:rsidP="002C67AE">
                    <w:pPr>
                      <w:pStyle w:val="Title"/>
                      <w:jc w:val="right"/>
                      <w:rPr>
                        <w:sz w:val="32"/>
                      </w:rPr>
                    </w:pPr>
                    <w:r w:rsidRPr="00F37BE7">
                      <w:rPr>
                        <w:sz w:val="28"/>
                      </w:rPr>
                      <w:t>FACT SHEET</w:t>
                    </w:r>
                  </w:p>
                  <w:p w14:paraId="202AABA9" w14:textId="675658AB" w:rsidR="004E61C9" w:rsidRPr="007B4153" w:rsidRDefault="004E61C9" w:rsidP="002C67AE">
                    <w:pPr>
                      <w:pStyle w:val="Title"/>
                      <w:jc w:val="right"/>
                      <w:rPr>
                        <w:b/>
                        <w:sz w:val="32"/>
                      </w:rPr>
                    </w:pPr>
                    <w:r w:rsidRPr="007B4153">
                      <w:rPr>
                        <w:b/>
                        <w:sz w:val="32"/>
                      </w:rPr>
                      <w:t xml:space="preserve">ECONOMIC RESPONSE TO </w:t>
                    </w:r>
                    <w:r>
                      <w:rPr>
                        <w:b/>
                        <w:sz w:val="32"/>
                      </w:rPr>
                      <w:t xml:space="preserve">THE </w:t>
                    </w:r>
                    <w:r w:rsidRPr="007B4153">
                      <w:rPr>
                        <w:b/>
                        <w:sz w:val="32"/>
                      </w:rPr>
                      <w:t>CORONAVIRUS</w:t>
                    </w:r>
                  </w:p>
                  <w:p w14:paraId="2008311D" w14:textId="77777777" w:rsidR="004E61C9" w:rsidRPr="002C67AE" w:rsidRDefault="004E61C9" w:rsidP="002C67AE"/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  <w:lang w:eastAsia="en-AU"/>
      </w:rPr>
      <w:drawing>
        <wp:anchor distT="0" distB="0" distL="114300" distR="114300" simplePos="0" relativeHeight="251658243" behindDoc="0" locked="0" layoutInCell="1" allowOverlap="1" wp14:anchorId="7D8173C2" wp14:editId="7518A7C9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2196000" cy="61375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ustGovt_inline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61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EE7">
      <w:rPr>
        <w:noProof/>
        <w:sz w:val="14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7A6676" wp14:editId="748F75B4">
              <wp:simplePos x="0" y="0"/>
              <wp:positionH relativeFrom="page">
                <wp:posOffset>0</wp:posOffset>
              </wp:positionH>
              <wp:positionV relativeFrom="page">
                <wp:posOffset>-8890</wp:posOffset>
              </wp:positionV>
              <wp:extent cx="7559675" cy="1524000"/>
              <wp:effectExtent l="0" t="0" r="317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24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6FD31" id="Rectangle 7" o:spid="_x0000_s1026" style="position:absolute;margin-left:0;margin-top:-.7pt;width:595.25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" fillcolor="#00827f [3206]" stroked="f">
              <w10:wrap anchorx="page" anchory="page"/>
            </v:rect>
          </w:pict>
        </mc:Fallback>
      </mc:AlternateContent>
    </w:r>
    <w:r w:rsidRPr="00281EE7">
      <w:rPr>
        <w:noProof/>
        <w:sz w:val="14"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28D58A3" wp14:editId="638E5ADA">
              <wp:simplePos x="0" y="0"/>
              <wp:positionH relativeFrom="page">
                <wp:posOffset>-3810</wp:posOffset>
              </wp:positionH>
              <wp:positionV relativeFrom="topMargin">
                <wp:posOffset>1482725</wp:posOffset>
              </wp:positionV>
              <wp:extent cx="7560000" cy="97200"/>
              <wp:effectExtent l="0" t="0" r="317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1E0E9" id="Rectangle 9" o:spid="_x0000_s1026" style="position:absolute;margin-left:-.3pt;margin-top:116.75pt;width:595.3pt;height:7.6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" fillcolor="#002c47 [3204]" stroked="f">
              <w10:wrap anchorx="page" anchory="margin"/>
            </v:rect>
          </w:pict>
        </mc:Fallback>
      </mc:AlternateContent>
    </w:r>
    <w:r>
      <w:rPr>
        <w:rStyle w:val="TitleChar"/>
        <w:sz w:val="48"/>
      </w:rPr>
      <w:t>P</w:t>
    </w:r>
    <w:r w:rsidRPr="00281EE7">
      <w:rPr>
        <w:rStyle w:val="TitleChar"/>
        <w:sz w:val="48"/>
      </w:rPr>
      <w:t xml:space="preserve">ayments to </w:t>
    </w:r>
    <w:r>
      <w:rPr>
        <w:rStyle w:val="TitleChar"/>
        <w:sz w:val="48"/>
      </w:rPr>
      <w:t xml:space="preserve">support </w:t>
    </w:r>
    <w:r w:rsidRPr="00281EE7">
      <w:rPr>
        <w:rStyle w:val="TitleChar"/>
        <w:sz w:val="48"/>
      </w:rPr>
      <w:t xml:space="preserve">households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FDD1" w14:textId="666CDED1" w:rsidR="004E61C9" w:rsidRPr="00CA3066" w:rsidRDefault="004E61C9" w:rsidP="00FE7BB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42D"/>
    <w:multiLevelType w:val="multilevel"/>
    <w:tmpl w:val="C0F88CEC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8E3AB5"/>
    <w:multiLevelType w:val="hybridMultilevel"/>
    <w:tmpl w:val="CD4C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C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False"/>
  </w:docVars>
  <w:rsids>
    <w:rsidRoot w:val="00481FF5"/>
    <w:rsid w:val="00002558"/>
    <w:rsid w:val="000106E4"/>
    <w:rsid w:val="00015AF1"/>
    <w:rsid w:val="00023BDD"/>
    <w:rsid w:val="000306EB"/>
    <w:rsid w:val="00032F47"/>
    <w:rsid w:val="00043218"/>
    <w:rsid w:val="00043B4B"/>
    <w:rsid w:val="0004628B"/>
    <w:rsid w:val="00046D8F"/>
    <w:rsid w:val="00055781"/>
    <w:rsid w:val="00057FCB"/>
    <w:rsid w:val="000611AB"/>
    <w:rsid w:val="000728F9"/>
    <w:rsid w:val="0008027A"/>
    <w:rsid w:val="0008608C"/>
    <w:rsid w:val="00090577"/>
    <w:rsid w:val="00093DA1"/>
    <w:rsid w:val="00097335"/>
    <w:rsid w:val="000C7147"/>
    <w:rsid w:val="000C78C3"/>
    <w:rsid w:val="000D0361"/>
    <w:rsid w:val="000D41E1"/>
    <w:rsid w:val="000D5335"/>
    <w:rsid w:val="000E0479"/>
    <w:rsid w:val="00100045"/>
    <w:rsid w:val="00103505"/>
    <w:rsid w:val="001114EA"/>
    <w:rsid w:val="00114078"/>
    <w:rsid w:val="00116391"/>
    <w:rsid w:val="001333C8"/>
    <w:rsid w:val="00136C7E"/>
    <w:rsid w:val="00141EDC"/>
    <w:rsid w:val="00145ECE"/>
    <w:rsid w:val="00147B2D"/>
    <w:rsid w:val="00156180"/>
    <w:rsid w:val="00161B0C"/>
    <w:rsid w:val="00165EF7"/>
    <w:rsid w:val="0016700B"/>
    <w:rsid w:val="00171DE5"/>
    <w:rsid w:val="00176C24"/>
    <w:rsid w:val="00180E56"/>
    <w:rsid w:val="00190370"/>
    <w:rsid w:val="00191D0E"/>
    <w:rsid w:val="001975D2"/>
    <w:rsid w:val="001A5566"/>
    <w:rsid w:val="001D5869"/>
    <w:rsid w:val="001E1160"/>
    <w:rsid w:val="001E6316"/>
    <w:rsid w:val="002027DC"/>
    <w:rsid w:val="00215F5B"/>
    <w:rsid w:val="002210BC"/>
    <w:rsid w:val="002348E2"/>
    <w:rsid w:val="002366D5"/>
    <w:rsid w:val="00237173"/>
    <w:rsid w:val="00244BFA"/>
    <w:rsid w:val="0025286E"/>
    <w:rsid w:val="00267060"/>
    <w:rsid w:val="002720E2"/>
    <w:rsid w:val="00277B10"/>
    <w:rsid w:val="002815A8"/>
    <w:rsid w:val="002818EF"/>
    <w:rsid w:val="00281EE7"/>
    <w:rsid w:val="00285555"/>
    <w:rsid w:val="00285F33"/>
    <w:rsid w:val="00290751"/>
    <w:rsid w:val="002919F8"/>
    <w:rsid w:val="002A1623"/>
    <w:rsid w:val="002A1B92"/>
    <w:rsid w:val="002A34AD"/>
    <w:rsid w:val="002A38CE"/>
    <w:rsid w:val="002A61A4"/>
    <w:rsid w:val="002A7330"/>
    <w:rsid w:val="002B0511"/>
    <w:rsid w:val="002B2131"/>
    <w:rsid w:val="002C3015"/>
    <w:rsid w:val="002C67AE"/>
    <w:rsid w:val="002D0AB3"/>
    <w:rsid w:val="002D1CB4"/>
    <w:rsid w:val="002D3844"/>
    <w:rsid w:val="002E6A33"/>
    <w:rsid w:val="002E7FD3"/>
    <w:rsid w:val="002F0F00"/>
    <w:rsid w:val="00300E4E"/>
    <w:rsid w:val="003025AC"/>
    <w:rsid w:val="00310857"/>
    <w:rsid w:val="00311229"/>
    <w:rsid w:val="00314911"/>
    <w:rsid w:val="003164FA"/>
    <w:rsid w:val="00316B01"/>
    <w:rsid w:val="00321FB9"/>
    <w:rsid w:val="00322BBB"/>
    <w:rsid w:val="00332DBA"/>
    <w:rsid w:val="00332DF0"/>
    <w:rsid w:val="00333041"/>
    <w:rsid w:val="00337804"/>
    <w:rsid w:val="003602F6"/>
    <w:rsid w:val="0036282A"/>
    <w:rsid w:val="00366B8B"/>
    <w:rsid w:val="00370813"/>
    <w:rsid w:val="00382473"/>
    <w:rsid w:val="003865CA"/>
    <w:rsid w:val="003A4FD2"/>
    <w:rsid w:val="003A6874"/>
    <w:rsid w:val="003A6D36"/>
    <w:rsid w:val="003A72B0"/>
    <w:rsid w:val="003B5C4C"/>
    <w:rsid w:val="003B67E6"/>
    <w:rsid w:val="003C2122"/>
    <w:rsid w:val="003C3656"/>
    <w:rsid w:val="003D0300"/>
    <w:rsid w:val="003E1E55"/>
    <w:rsid w:val="003F1276"/>
    <w:rsid w:val="003F2F2A"/>
    <w:rsid w:val="003F4474"/>
    <w:rsid w:val="0041652E"/>
    <w:rsid w:val="00424AA6"/>
    <w:rsid w:val="0042578A"/>
    <w:rsid w:val="00425CEF"/>
    <w:rsid w:val="00426B2F"/>
    <w:rsid w:val="004327CC"/>
    <w:rsid w:val="004344E2"/>
    <w:rsid w:val="00453F78"/>
    <w:rsid w:val="00467553"/>
    <w:rsid w:val="0047297D"/>
    <w:rsid w:val="00473DF8"/>
    <w:rsid w:val="00480BAC"/>
    <w:rsid w:val="00481FF5"/>
    <w:rsid w:val="004906C3"/>
    <w:rsid w:val="004941C2"/>
    <w:rsid w:val="004A10F0"/>
    <w:rsid w:val="004B13BA"/>
    <w:rsid w:val="004E083F"/>
    <w:rsid w:val="004E150D"/>
    <w:rsid w:val="004E5BC6"/>
    <w:rsid w:val="004E61C9"/>
    <w:rsid w:val="004E64FC"/>
    <w:rsid w:val="004E7ECD"/>
    <w:rsid w:val="004F6599"/>
    <w:rsid w:val="004F6D3E"/>
    <w:rsid w:val="00510C65"/>
    <w:rsid w:val="005132CB"/>
    <w:rsid w:val="00515296"/>
    <w:rsid w:val="00516118"/>
    <w:rsid w:val="00517C8B"/>
    <w:rsid w:val="005200C4"/>
    <w:rsid w:val="00520A66"/>
    <w:rsid w:val="005333D0"/>
    <w:rsid w:val="00536176"/>
    <w:rsid w:val="00536EBA"/>
    <w:rsid w:val="00551D2E"/>
    <w:rsid w:val="005529A1"/>
    <w:rsid w:val="00554735"/>
    <w:rsid w:val="00571283"/>
    <w:rsid w:val="0057251D"/>
    <w:rsid w:val="00584FC7"/>
    <w:rsid w:val="005A2A4F"/>
    <w:rsid w:val="005A7FF3"/>
    <w:rsid w:val="005E30BA"/>
    <w:rsid w:val="005E5D5A"/>
    <w:rsid w:val="005F12DA"/>
    <w:rsid w:val="005F4A7B"/>
    <w:rsid w:val="00612689"/>
    <w:rsid w:val="006168B2"/>
    <w:rsid w:val="00622A4C"/>
    <w:rsid w:val="0063185E"/>
    <w:rsid w:val="00640217"/>
    <w:rsid w:val="0064595E"/>
    <w:rsid w:val="00652600"/>
    <w:rsid w:val="00652D4D"/>
    <w:rsid w:val="00677079"/>
    <w:rsid w:val="00680339"/>
    <w:rsid w:val="00690770"/>
    <w:rsid w:val="0069677C"/>
    <w:rsid w:val="006A2D18"/>
    <w:rsid w:val="006A4B5A"/>
    <w:rsid w:val="006A6497"/>
    <w:rsid w:val="006A6C1D"/>
    <w:rsid w:val="006B00CF"/>
    <w:rsid w:val="006B04DC"/>
    <w:rsid w:val="006B45E6"/>
    <w:rsid w:val="006C16C1"/>
    <w:rsid w:val="006C1FE8"/>
    <w:rsid w:val="006C4461"/>
    <w:rsid w:val="006D3BD4"/>
    <w:rsid w:val="006D4F70"/>
    <w:rsid w:val="006F068C"/>
    <w:rsid w:val="006F11E9"/>
    <w:rsid w:val="00701E39"/>
    <w:rsid w:val="007178B8"/>
    <w:rsid w:val="007226C6"/>
    <w:rsid w:val="00737F07"/>
    <w:rsid w:val="00754A68"/>
    <w:rsid w:val="00756103"/>
    <w:rsid w:val="00756B9E"/>
    <w:rsid w:val="00762B54"/>
    <w:rsid w:val="00762DE4"/>
    <w:rsid w:val="007703D1"/>
    <w:rsid w:val="0077107C"/>
    <w:rsid w:val="00776D46"/>
    <w:rsid w:val="00784506"/>
    <w:rsid w:val="00790A99"/>
    <w:rsid w:val="0079308D"/>
    <w:rsid w:val="007B244D"/>
    <w:rsid w:val="007B4153"/>
    <w:rsid w:val="007D79CF"/>
    <w:rsid w:val="007E0260"/>
    <w:rsid w:val="007E1397"/>
    <w:rsid w:val="007E1959"/>
    <w:rsid w:val="007E375F"/>
    <w:rsid w:val="0080461F"/>
    <w:rsid w:val="0081106E"/>
    <w:rsid w:val="008149CA"/>
    <w:rsid w:val="00815FBA"/>
    <w:rsid w:val="008174BE"/>
    <w:rsid w:val="00821BF9"/>
    <w:rsid w:val="008232A1"/>
    <w:rsid w:val="0084388C"/>
    <w:rsid w:val="00847C85"/>
    <w:rsid w:val="0085454A"/>
    <w:rsid w:val="0086074A"/>
    <w:rsid w:val="00863C2E"/>
    <w:rsid w:val="00866FA2"/>
    <w:rsid w:val="00872C03"/>
    <w:rsid w:val="00873F4B"/>
    <w:rsid w:val="0088314F"/>
    <w:rsid w:val="00886220"/>
    <w:rsid w:val="008B512B"/>
    <w:rsid w:val="008B616C"/>
    <w:rsid w:val="008C4C24"/>
    <w:rsid w:val="008C5DF3"/>
    <w:rsid w:val="008C6A36"/>
    <w:rsid w:val="008C6C58"/>
    <w:rsid w:val="008E2BDB"/>
    <w:rsid w:val="008E383B"/>
    <w:rsid w:val="008E53C7"/>
    <w:rsid w:val="008F00ED"/>
    <w:rsid w:val="008F4D92"/>
    <w:rsid w:val="00907A13"/>
    <w:rsid w:val="0091387D"/>
    <w:rsid w:val="009202E3"/>
    <w:rsid w:val="00921B53"/>
    <w:rsid w:val="00940090"/>
    <w:rsid w:val="009455AB"/>
    <w:rsid w:val="0095266C"/>
    <w:rsid w:val="00954F81"/>
    <w:rsid w:val="00955258"/>
    <w:rsid w:val="00955844"/>
    <w:rsid w:val="00957947"/>
    <w:rsid w:val="0096043B"/>
    <w:rsid w:val="0096130A"/>
    <w:rsid w:val="009677C0"/>
    <w:rsid w:val="009743C8"/>
    <w:rsid w:val="009836C6"/>
    <w:rsid w:val="00984309"/>
    <w:rsid w:val="00985F64"/>
    <w:rsid w:val="00990638"/>
    <w:rsid w:val="00994BCB"/>
    <w:rsid w:val="009B058D"/>
    <w:rsid w:val="009B2421"/>
    <w:rsid w:val="009B7783"/>
    <w:rsid w:val="009C76A9"/>
    <w:rsid w:val="009D147A"/>
    <w:rsid w:val="009F7FBC"/>
    <w:rsid w:val="00A01E22"/>
    <w:rsid w:val="00A0267D"/>
    <w:rsid w:val="00A02CC5"/>
    <w:rsid w:val="00A11623"/>
    <w:rsid w:val="00A126B4"/>
    <w:rsid w:val="00A2275C"/>
    <w:rsid w:val="00A22828"/>
    <w:rsid w:val="00A231D1"/>
    <w:rsid w:val="00A26A86"/>
    <w:rsid w:val="00A27498"/>
    <w:rsid w:val="00A60E3A"/>
    <w:rsid w:val="00A616A6"/>
    <w:rsid w:val="00A64187"/>
    <w:rsid w:val="00A7065B"/>
    <w:rsid w:val="00A74578"/>
    <w:rsid w:val="00A8044C"/>
    <w:rsid w:val="00A957A1"/>
    <w:rsid w:val="00AA0CA8"/>
    <w:rsid w:val="00AC10FB"/>
    <w:rsid w:val="00AC3FEE"/>
    <w:rsid w:val="00AE2EF4"/>
    <w:rsid w:val="00AE4CCE"/>
    <w:rsid w:val="00AE4FA4"/>
    <w:rsid w:val="00AF3FE0"/>
    <w:rsid w:val="00AF586D"/>
    <w:rsid w:val="00B0094C"/>
    <w:rsid w:val="00B049EB"/>
    <w:rsid w:val="00B10B1F"/>
    <w:rsid w:val="00B13062"/>
    <w:rsid w:val="00B1605F"/>
    <w:rsid w:val="00B20DD5"/>
    <w:rsid w:val="00B22113"/>
    <w:rsid w:val="00B22439"/>
    <w:rsid w:val="00B3004A"/>
    <w:rsid w:val="00B3084F"/>
    <w:rsid w:val="00B3560D"/>
    <w:rsid w:val="00B4091D"/>
    <w:rsid w:val="00B546E0"/>
    <w:rsid w:val="00B57802"/>
    <w:rsid w:val="00B6144E"/>
    <w:rsid w:val="00B71810"/>
    <w:rsid w:val="00B71F56"/>
    <w:rsid w:val="00B84353"/>
    <w:rsid w:val="00B877B3"/>
    <w:rsid w:val="00B90990"/>
    <w:rsid w:val="00BB2C68"/>
    <w:rsid w:val="00BB3C27"/>
    <w:rsid w:val="00BB66F1"/>
    <w:rsid w:val="00BB7944"/>
    <w:rsid w:val="00BC0FEB"/>
    <w:rsid w:val="00BC68B2"/>
    <w:rsid w:val="00BD7661"/>
    <w:rsid w:val="00BE0939"/>
    <w:rsid w:val="00BE1A9B"/>
    <w:rsid w:val="00BF2344"/>
    <w:rsid w:val="00C02BF0"/>
    <w:rsid w:val="00C271EE"/>
    <w:rsid w:val="00C33751"/>
    <w:rsid w:val="00C42BF2"/>
    <w:rsid w:val="00C519C7"/>
    <w:rsid w:val="00C54199"/>
    <w:rsid w:val="00C54D58"/>
    <w:rsid w:val="00C64A95"/>
    <w:rsid w:val="00C83B5E"/>
    <w:rsid w:val="00C8532B"/>
    <w:rsid w:val="00C87EB0"/>
    <w:rsid w:val="00CA1A5D"/>
    <w:rsid w:val="00CA3066"/>
    <w:rsid w:val="00CB7AE1"/>
    <w:rsid w:val="00CC1A28"/>
    <w:rsid w:val="00CC5132"/>
    <w:rsid w:val="00CC595C"/>
    <w:rsid w:val="00CD6817"/>
    <w:rsid w:val="00CE0378"/>
    <w:rsid w:val="00CE453F"/>
    <w:rsid w:val="00CF162A"/>
    <w:rsid w:val="00CF2A76"/>
    <w:rsid w:val="00D02A05"/>
    <w:rsid w:val="00D04179"/>
    <w:rsid w:val="00D1652E"/>
    <w:rsid w:val="00D20C06"/>
    <w:rsid w:val="00D2129E"/>
    <w:rsid w:val="00D218DB"/>
    <w:rsid w:val="00D306F1"/>
    <w:rsid w:val="00D50C07"/>
    <w:rsid w:val="00D60CF6"/>
    <w:rsid w:val="00D642B7"/>
    <w:rsid w:val="00D7174D"/>
    <w:rsid w:val="00D96629"/>
    <w:rsid w:val="00DA6591"/>
    <w:rsid w:val="00DB3AD3"/>
    <w:rsid w:val="00DB5132"/>
    <w:rsid w:val="00DC001D"/>
    <w:rsid w:val="00DC2874"/>
    <w:rsid w:val="00DC3A4D"/>
    <w:rsid w:val="00DC58B7"/>
    <w:rsid w:val="00DD17E3"/>
    <w:rsid w:val="00DD3B3F"/>
    <w:rsid w:val="00DD462D"/>
    <w:rsid w:val="00DD523C"/>
    <w:rsid w:val="00DD7E35"/>
    <w:rsid w:val="00DE2A7E"/>
    <w:rsid w:val="00DE46FF"/>
    <w:rsid w:val="00DE65A7"/>
    <w:rsid w:val="00DE7F96"/>
    <w:rsid w:val="00DF080B"/>
    <w:rsid w:val="00DF254A"/>
    <w:rsid w:val="00E04968"/>
    <w:rsid w:val="00E104FF"/>
    <w:rsid w:val="00E14A39"/>
    <w:rsid w:val="00E23346"/>
    <w:rsid w:val="00E30818"/>
    <w:rsid w:val="00E375F6"/>
    <w:rsid w:val="00E6046C"/>
    <w:rsid w:val="00E70BFC"/>
    <w:rsid w:val="00E70EC7"/>
    <w:rsid w:val="00E72368"/>
    <w:rsid w:val="00E81D84"/>
    <w:rsid w:val="00E86650"/>
    <w:rsid w:val="00E93B86"/>
    <w:rsid w:val="00E96B93"/>
    <w:rsid w:val="00EB0FEF"/>
    <w:rsid w:val="00EB79BF"/>
    <w:rsid w:val="00EC25C3"/>
    <w:rsid w:val="00ED7D9E"/>
    <w:rsid w:val="00EE0A84"/>
    <w:rsid w:val="00EE1D86"/>
    <w:rsid w:val="00EE40D5"/>
    <w:rsid w:val="00EE6B2E"/>
    <w:rsid w:val="00EF0B92"/>
    <w:rsid w:val="00F065E8"/>
    <w:rsid w:val="00F10AA1"/>
    <w:rsid w:val="00F3148B"/>
    <w:rsid w:val="00F3183C"/>
    <w:rsid w:val="00F37BE7"/>
    <w:rsid w:val="00F65C1B"/>
    <w:rsid w:val="00F84B3C"/>
    <w:rsid w:val="00F84B72"/>
    <w:rsid w:val="00F9320F"/>
    <w:rsid w:val="00F96F90"/>
    <w:rsid w:val="00F97264"/>
    <w:rsid w:val="00FB7F5D"/>
    <w:rsid w:val="00FC338C"/>
    <w:rsid w:val="00FE0574"/>
    <w:rsid w:val="00FE2EDE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C7CFDA7"/>
  <w15:chartTrackingRefBased/>
  <w15:docId w15:val="{9A0279C9-7511-479F-9328-E716A11B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4C"/>
    <w:pPr>
      <w:spacing w:before="120" w:after="1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3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BFA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caps/>
      <w:color w:val="002C4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27F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3C"/>
  </w:style>
  <w:style w:type="paragraph" w:styleId="Footer">
    <w:name w:val="footer"/>
    <w:basedOn w:val="Normal"/>
    <w:link w:val="FooterChar"/>
    <w:uiPriority w:val="99"/>
    <w:unhideWhenUsed/>
    <w:rsid w:val="00F31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3C"/>
  </w:style>
  <w:style w:type="paragraph" w:customStyle="1" w:styleId="SecurityClassificationHeader">
    <w:name w:val="Security Classification Header"/>
    <w:link w:val="SecurityClassificationHeaderChar"/>
    <w:rsid w:val="00F3183C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3183C"/>
    <w:rPr>
      <w:rFonts w:ascii="Calibri" w:hAnsi="Calibri" w:cs="Calibri"/>
      <w:b/>
      <w:caps/>
      <w:sz w:val="24"/>
    </w:rPr>
  </w:style>
  <w:style w:type="paragraph" w:customStyle="1" w:styleId="SecurityClassificationFooter">
    <w:name w:val="Security Classification Footer"/>
    <w:link w:val="SecurityClassificationFooterChar"/>
    <w:rsid w:val="00F3183C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3183C"/>
    <w:rPr>
      <w:rFonts w:ascii="Calibri" w:hAnsi="Calibri" w:cs="Calibri"/>
      <w:b/>
      <w:caps/>
      <w:sz w:val="24"/>
    </w:rPr>
  </w:style>
  <w:style w:type="paragraph" w:customStyle="1" w:styleId="DLMSecurityHeader">
    <w:name w:val="DLM Security Header"/>
    <w:link w:val="DLMSecurityHeaderChar"/>
    <w:rsid w:val="00F3183C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F3183C"/>
    <w:rPr>
      <w:rFonts w:ascii="Calibri" w:hAnsi="Calibri" w:cs="Calibri"/>
      <w:b/>
      <w:caps/>
      <w:sz w:val="24"/>
    </w:rPr>
  </w:style>
  <w:style w:type="paragraph" w:customStyle="1" w:styleId="DLMSecurityFooter">
    <w:name w:val="DLM Security Footer"/>
    <w:link w:val="DLMSecurityFooterChar"/>
    <w:rsid w:val="00F3183C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F3183C"/>
    <w:rPr>
      <w:rFonts w:ascii="Calibri" w:hAnsi="Calibri" w:cs="Calibri"/>
      <w:b/>
      <w:cap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BF0"/>
    <w:pPr>
      <w:spacing w:before="0" w:after="0"/>
      <w:contextualSpacing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BF0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2A4C"/>
    <w:rPr>
      <w:rFonts w:asciiTheme="majorHAnsi" w:eastAsiaTheme="majorEastAsia" w:hAnsiTheme="majorHAnsi" w:cstheme="majorBidi"/>
      <w:color w:val="002035" w:themeColor="accent1" w:themeShade="BF"/>
      <w:sz w:val="32"/>
      <w:szCs w:val="32"/>
    </w:rPr>
  </w:style>
  <w:style w:type="table" w:styleId="TableGrid">
    <w:name w:val="Table Grid"/>
    <w:basedOn w:val="TableNormal"/>
    <w:rsid w:val="006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4BFA"/>
    <w:rPr>
      <w:rFonts w:asciiTheme="majorHAnsi" w:eastAsiaTheme="majorEastAsia" w:hAnsiTheme="majorHAnsi" w:cstheme="majorBidi"/>
      <w:caps/>
      <w:color w:val="002C47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04D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B04DC"/>
    <w:rPr>
      <w:rFonts w:asciiTheme="majorHAnsi" w:eastAsiaTheme="majorEastAsia" w:hAnsiTheme="majorHAnsi" w:cstheme="majorBidi"/>
      <w:color w:val="00827F" w:themeColor="accent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813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081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Introtext">
    <w:name w:val="Intro text"/>
    <w:basedOn w:val="Subtitle"/>
    <w:qFormat/>
    <w:rsid w:val="00370813"/>
    <w:rPr>
      <w:sz w:val="26"/>
      <w:szCs w:val="26"/>
    </w:rPr>
  </w:style>
  <w:style w:type="paragraph" w:customStyle="1" w:styleId="Boxheading">
    <w:name w:val="Box heading"/>
    <w:basedOn w:val="Normal"/>
    <w:qFormat/>
    <w:rsid w:val="00A02CC5"/>
    <w:pPr>
      <w:spacing w:before="240"/>
    </w:pPr>
    <w:rPr>
      <w:b/>
      <w:color w:val="00827F" w:themeColor="accent3"/>
    </w:rPr>
  </w:style>
  <w:style w:type="paragraph" w:customStyle="1" w:styleId="Bullet">
    <w:name w:val="Bullet"/>
    <w:basedOn w:val="Normal"/>
    <w:link w:val="BulletChar"/>
    <w:rsid w:val="007B4153"/>
    <w:pPr>
      <w:numPr>
        <w:numId w:val="1"/>
      </w:numPr>
    </w:pPr>
    <w:rPr>
      <w:rFonts w:eastAsiaTheme="majorEastAsia" w:cstheme="majorBidi"/>
      <w:szCs w:val="24"/>
    </w:rPr>
  </w:style>
  <w:style w:type="character" w:customStyle="1" w:styleId="BulletChar">
    <w:name w:val="Bullet Char"/>
    <w:basedOn w:val="Heading3Char"/>
    <w:link w:val="Bullet"/>
    <w:rsid w:val="007B4153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Dash">
    <w:name w:val="Dash"/>
    <w:basedOn w:val="Normal"/>
    <w:link w:val="DashChar"/>
    <w:rsid w:val="00F37BE7"/>
    <w:pPr>
      <w:numPr>
        <w:ilvl w:val="1"/>
        <w:numId w:val="1"/>
      </w:numPr>
    </w:pPr>
    <w:rPr>
      <w:rFonts w:eastAsiaTheme="majorEastAsia" w:cstheme="majorBidi"/>
      <w:color w:val="00827F" w:themeColor="accent3"/>
      <w:szCs w:val="24"/>
    </w:rPr>
  </w:style>
  <w:style w:type="character" w:customStyle="1" w:styleId="DashChar">
    <w:name w:val="Dash Char"/>
    <w:basedOn w:val="Heading3Char"/>
    <w:link w:val="Dash"/>
    <w:rsid w:val="00F37BE7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DoubleDot">
    <w:name w:val="Double Dot"/>
    <w:basedOn w:val="Normal"/>
    <w:link w:val="DoubleDotChar"/>
    <w:rsid w:val="00F37BE7"/>
    <w:pPr>
      <w:numPr>
        <w:ilvl w:val="2"/>
        <w:numId w:val="1"/>
      </w:numPr>
    </w:pPr>
    <w:rPr>
      <w:rFonts w:eastAsiaTheme="majorEastAsia" w:cstheme="majorBidi"/>
      <w:color w:val="00827F" w:themeColor="accent3"/>
      <w:szCs w:val="24"/>
    </w:rPr>
  </w:style>
  <w:style w:type="character" w:customStyle="1" w:styleId="DoubleDotChar">
    <w:name w:val="Double Dot Char"/>
    <w:basedOn w:val="Heading3Char"/>
    <w:link w:val="DoubleDot"/>
    <w:rsid w:val="00F37BE7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styleId="ListParagraph">
    <w:name w:val="List Paragraph"/>
    <w:basedOn w:val="Normal"/>
    <w:uiPriority w:val="34"/>
    <w:qFormat/>
    <w:rsid w:val="00957947"/>
    <w:pPr>
      <w:spacing w:before="0" w:after="0"/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NoSpacing">
    <w:name w:val="No Spacing"/>
    <w:uiPriority w:val="1"/>
    <w:qFormat/>
    <w:rsid w:val="0095794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153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D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D5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D5A"/>
    <w:rPr>
      <w:rFonts w:asciiTheme="minorHAnsi" w:hAnsiTheme="minorHAnsi"/>
      <w:b/>
      <w:bCs/>
    </w:rPr>
  </w:style>
  <w:style w:type="paragraph" w:customStyle="1" w:styleId="Tablecolumnheading">
    <w:name w:val="Table column heading"/>
    <w:basedOn w:val="Heading2"/>
    <w:qFormat/>
    <w:rsid w:val="004E083F"/>
    <w:pPr>
      <w:spacing w:before="120"/>
      <w:jc w:val="center"/>
    </w:pPr>
    <w:rPr>
      <w:rFonts w:asciiTheme="minorHAnsi" w:hAnsiTheme="minorHAnsi"/>
      <w:b/>
      <w:caps w:val="0"/>
      <w:color w:val="FFFFFF" w:themeColor="background1"/>
      <w:sz w:val="20"/>
    </w:rPr>
  </w:style>
  <w:style w:type="paragraph" w:styleId="Revision">
    <w:name w:val="Revision"/>
    <w:hidden/>
    <w:uiPriority w:val="99"/>
    <w:semiHidden/>
    <w:rsid w:val="003A687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02CC5"/>
    <w:rPr>
      <w:color w:val="00827F" w:themeColor="accent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treasury.gov.au/coronaviru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A\AppData\Local\Microsoft\Windows\INetCache\Content.Outlook\LDUIKJ58\COVID-19%20A4%20fact%20sheet_.dotx" TargetMode="External"/></Relationships>
</file>

<file path=word/theme/theme1.xml><?xml version="1.0" encoding="utf-8"?>
<a:theme xmlns:a="http://schemas.openxmlformats.org/drawingml/2006/main" name="Office Theme">
  <a:themeElements>
    <a:clrScheme name="Treasury PowerPoint">
      <a:dk1>
        <a:sysClr val="windowText" lastClr="000000"/>
      </a:dk1>
      <a:lt1>
        <a:sysClr val="window" lastClr="FFFFFF"/>
      </a:lt1>
      <a:dk2>
        <a:srgbClr val="F06252"/>
      </a:dk2>
      <a:lt2>
        <a:srgbClr val="E2E0CB"/>
      </a:lt2>
      <a:accent1>
        <a:srgbClr val="002C47"/>
      </a:accent1>
      <a:accent2>
        <a:srgbClr val="3A6FAF"/>
      </a:accent2>
      <a:accent3>
        <a:srgbClr val="00827F"/>
      </a:accent3>
      <a:accent4>
        <a:srgbClr val="F7901E"/>
      </a:accent4>
      <a:accent5>
        <a:srgbClr val="00ABBD"/>
      </a:accent5>
      <a:accent6>
        <a:srgbClr val="844D9E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B0B2B725CB133046A824148AFBF7588D00FB86DB676D39E9448B5E55157D1D7E54" ma:contentTypeVersion="10493" ma:contentTypeDescription="" ma:contentTypeScope="" ma:versionID="75245ced693398202b441a6ed646399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897d5b50-e2b5-48d2-af00-621a7a6336c9" xmlns:ns4="aed5e396-b62e-438f-bd6c-6d53d54e5cfc" targetNamespace="http://schemas.microsoft.com/office/2006/metadata/properties" ma:root="true" ma:fieldsID="bc613a9a1560a0ef8e3a5aede8b7a78e" ns1:_="" ns2:_="" ns3:_="" ns4:_="">
    <xsd:import namespace="http://schemas.microsoft.com/sharepoint/v3"/>
    <xsd:import namespace="0f563589-9cf9-4143-b1eb-fb0534803d38"/>
    <xsd:import namespace="897d5b50-e2b5-48d2-af00-621a7a6336c9"/>
    <xsd:import namespace="aed5e396-b62e-438f-bd6c-6d53d54e5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4:To_x002f_From" minOccurs="0"/>
                <xsd:element ref="ns4:Work_x0020_stream" minOccurs="0"/>
                <xsd:element ref="ns3:e3aa2faa4c2c4fc69aa7703a0b9bba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8ff8e001-7d25-479d-8b62-8006dc450e27}" ma:internalName="TaxCatchAll" ma:showField="CatchAllData" ma:web="897d5b50-e2b5-48d2-af00-621a7a633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ff8e001-7d25-479d-8b62-8006dc450e27}" ma:internalName="TaxCatchAllLabel" ma:readOnly="true" ma:showField="CatchAllDataLabel" ma:web="897d5b50-e2b5-48d2-af00-621a7a633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5b50-e2b5-48d2-af00-621a7a6336c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" ma:fieldId="{5b508a4d-c5e8-4436-a0fe-496b536466aa}" ma:sspId="77b7a547-5880-464f-83f8-cefe583c3af4" ma:termSetId="8c8a1de6-dea5-4e66-bd5a-b7b3daae0f37" ma:anchorId="72a33569-3b59-4b38-9058-021557895d12" ma:open="false" ma:isKeyword="false">
      <xsd:complexType>
        <xsd:sequence>
          <xsd:element ref="pc:Terms" minOccurs="0" maxOccurs="1"/>
        </xsd:sequence>
      </xsd:complexType>
    </xsd:element>
    <xsd:element name="e3aa2faa4c2c4fc69aa7703a0b9bba99" ma:index="20" nillable="true" ma:taxonomy="true" ma:internalName="e3aa2faa4c2c4fc69aa7703a0b9bba99" ma:taxonomyFieldName="TSYTopic" ma:displayName="TSYTopic" ma:default="" ma:fieldId="{e3aa2faa-4c2c-4fc6-9aa7-703a0b9bba99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e396-b62e-438f-bd6c-6d53d54e5cfc" elementFormDefault="qualified">
    <xsd:import namespace="http://schemas.microsoft.com/office/2006/documentManagement/types"/>
    <xsd:import namespace="http://schemas.microsoft.com/office/infopath/2007/PartnerControls"/>
    <xsd:element name="To_x002f_From" ma:index="18" nillable="true" ma:displayName="To/From" ma:format="Dropdown" ma:internalName="To_x002F_From">
      <xsd:simpleType>
        <xsd:restriction base="dms:Choice">
          <xsd:enumeration value="Internal working"/>
          <xsd:enumeration value="To: Internal"/>
          <xsd:enumeration value="To: Treasurer/PMO"/>
          <xsd:enumeration value="From: Internal"/>
          <xsd:enumeration value="From: External"/>
        </xsd:restriction>
      </xsd:simpleType>
    </xsd:element>
    <xsd:element name="Work_x0020_stream" ma:index="19" nillable="true" ma:displayName="Work stream" ma:format="Dropdown" ma:internalName="Work_x0020_stream">
      <xsd:simpleType>
        <xsd:restriction base="dms:Choice">
          <xsd:enumeration value="Daily updates"/>
          <xsd:enumeration value="Other briefing"/>
          <xsd:enumeration value="Response package"/>
          <xsd:enumeration value="External information/reports"/>
          <xsd:enumeration value="Communications"/>
          <xsd:enumeration value="Correspon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0B2B725CB133046A824148AFBF7588D|1757814118" UniqueId="ae7ec984-e6b3-49e5-9a50-daf04c2d54d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41</Value>
      <Value>184</Value>
    </TaxCatchAll>
    <_dlc_DocId xmlns="0f563589-9cf9-4143-b1eb-fb0534803d38">20205JXR4F37-906865816-472</_dlc_DocId>
    <_dlc_DocIdUrl xmlns="0f563589-9cf9-4143-b1eb-fb0534803d38">
      <Url>http://tweb/sites/treasury/cvirus/_layouts/15/DocIdRedir.aspx?ID=20205JXR4F37-906865816-472</Url>
      <Description>20205JXR4F37-906865816-472</Description>
    </_dlc_DocIdUrl>
    <lb508a4dc5e84436a0fe496b536466aa xmlns="897d5b50-e2b5-48d2-af00-621a7a6336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  <TaxKeywordTaxHTField xmlns="0f563589-9cf9-4143-b1eb-fb0534803d38">
      <Terms xmlns="http://schemas.microsoft.com/office/infopath/2007/PartnerControls"/>
    </TaxKeywordTaxHTField>
    <To_x002f_From xmlns="aed5e396-b62e-438f-bd6c-6d53d54e5cfc" xsi:nil="true"/>
    <Work_x0020_stream xmlns="aed5e396-b62e-438f-bd6c-6d53d54e5cfc" xsi:nil="true"/>
    <e3aa2faa4c2c4fc69aa7703a0b9bba99 xmlns="897d5b50-e2b5-48d2-af00-621a7a6336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cc09a21e-f925-49e1-9a69-f2288a9e1b97</TermId>
        </TermInfo>
      </Terms>
    </e3aa2faa4c2c4fc69aa7703a0b9bba9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16EA-248E-458C-B6C0-EB16CD29E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11DBC-26EF-467F-AD9B-6F7907E6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897d5b50-e2b5-48d2-af00-621a7a6336c9"/>
    <ds:schemaRef ds:uri="aed5e396-b62e-438f-bd6c-6d53d54e5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D0BA9-B854-4851-A53B-E6B743317C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721ABA-7AC9-4F10-AE0B-C1D1D04EF94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961617B-8732-4EDA-82B0-9C402B6CEBC6}">
  <ds:schemaRefs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aed5e396-b62e-438f-bd6c-6d53d54e5c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7d5b50-e2b5-48d2-af00-621a7a6336c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FE06CC1-5CD1-4617-915B-46288BC0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COVID-19 A4 fact sheet_.dotx</Template>
  <TotalTime>6</TotalTime>
  <Pages>4</Pages>
  <Words>1011</Words>
  <Characters>5614</Characters>
  <Application>Microsoft Office Word</Application>
  <DocSecurity>0</DocSecurity>
  <Lines>147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3_Individuals - Office Comments</vt:lpstr>
    </vt:vector>
  </TitlesOfParts>
  <Company>The Department of the Treasury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3_Individuals - Office Comments</dc:title>
  <dc:subject/>
  <dc:creator>Cox, Zoe</dc:creator>
  <cp:keywords/>
  <dc:description/>
  <cp:lastModifiedBy>Hill, Emily</cp:lastModifiedBy>
  <cp:revision>7</cp:revision>
  <cp:lastPrinted>2020-03-21T10:54:00Z</cp:lastPrinted>
  <dcterms:created xsi:type="dcterms:W3CDTF">2020-03-21T20:07:00Z</dcterms:created>
  <dcterms:modified xsi:type="dcterms:W3CDTF">2020-03-21T22:46:00Z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ification">
    <vt:lpwstr>Protected</vt:lpwstr>
  </property>
  <property fmtid="{D5CDD505-2E9C-101B-9397-08002B2CF9AE}" pid="3" name="DLMSecurityClassification">
    <vt:lpwstr>Sensitive:  Cabinet</vt:lpwstr>
  </property>
  <property fmtid="{D5CDD505-2E9C-101B-9397-08002B2CF9AE}" pid="4" name="ContentTypeId">
    <vt:lpwstr>0x010100B0B2B725CB133046A824148AFBF7588D00FB86DB676D39E9448B5E55157D1D7E54</vt:lpwstr>
  </property>
  <property fmtid="{D5CDD505-2E9C-101B-9397-08002B2CF9AE}" pid="5" name="_dlc_DocIdItemGuid">
    <vt:lpwstr>8ad814c5-1a5b-48b0-98cc-289c36592b4a</vt:lpwstr>
  </property>
  <property fmtid="{D5CDD505-2E9C-101B-9397-08002B2CF9AE}" pid="6" name="TaxKeyword">
    <vt:lpwstr/>
  </property>
  <property fmtid="{D5CDD505-2E9C-101B-9397-08002B2CF9AE}" pid="7" name="TSYRecordClass">
    <vt:lpwstr>41;#TSY RA-9241 - Retain as national archives|f92f0150-6021-43b5-a30c-415e02490674</vt:lpwstr>
  </property>
  <property fmtid="{D5CDD505-2E9C-101B-9397-08002B2CF9AE}" pid="8" name="_NewReviewCycle">
    <vt:lpwstr/>
  </property>
  <property fmtid="{D5CDD505-2E9C-101B-9397-08002B2CF9AE}" pid="9" name="RecordPoint_WorkflowType">
    <vt:lpwstr>ActiveSubmitStub</vt:lpwstr>
  </property>
  <property fmtid="{D5CDD505-2E9C-101B-9397-08002B2CF9AE}" pid="10" name="RecordPoint_SubmissionCompleted">
    <vt:lpwstr>2020-03-10T20:24:23.9450271+11:00</vt:lpwstr>
  </property>
  <property fmtid="{D5CDD505-2E9C-101B-9397-08002B2CF9AE}" pid="11" name="RecordPoint_ActiveItemUniqueId">
    <vt:lpwstr>{95fce87a-0007-4d01-a218-acb097105212}</vt:lpwstr>
  </property>
  <property fmtid="{D5CDD505-2E9C-101B-9397-08002B2CF9AE}" pid="12" name="RecordPoint_ActiveItemWebId">
    <vt:lpwstr>{1664391a-305f-448a-a41a-3aebced85d6c}</vt:lpwstr>
  </property>
  <property fmtid="{D5CDD505-2E9C-101B-9397-08002B2CF9AE}" pid="13" name="RecordPoint_ActiveItemSiteId">
    <vt:lpwstr>{a3a280d1-e8f1-4ce7-94f0-aaa2322da0dd}</vt:lpwstr>
  </property>
  <property fmtid="{D5CDD505-2E9C-101B-9397-08002B2CF9AE}" pid="14" name="RecordPoint_ActiveItemListId">
    <vt:lpwstr>{3194d815-266a-4a6d-ab37-446d87fa8275}</vt:lpwstr>
  </property>
  <property fmtid="{D5CDD505-2E9C-101B-9397-08002B2CF9AE}" pid="15" name="RecordPoint_RecordNumberSubmitted">
    <vt:lpwstr>R0002235036</vt:lpwstr>
  </property>
  <property fmtid="{D5CDD505-2E9C-101B-9397-08002B2CF9AE}" pid="16" name="Order">
    <vt:r8>24700</vt:r8>
  </property>
  <property fmtid="{D5CDD505-2E9C-101B-9397-08002B2CF9AE}" pid="17" name="oae75e2df9d943898d59cb03ca0993c5">
    <vt:lpwstr/>
  </property>
  <property fmtid="{D5CDD505-2E9C-101B-9397-08002B2CF9AE}" pid="18" name="Topics">
    <vt:lpwstr/>
  </property>
  <property fmtid="{D5CDD505-2E9C-101B-9397-08002B2CF9AE}" pid="19" name="MailSubject">
    <vt:lpwstr/>
  </property>
  <property fmtid="{D5CDD505-2E9C-101B-9397-08002B2CF9AE}" pid="20" name="OriginalSubject">
    <vt:lpwstr/>
  </property>
  <property fmtid="{D5CDD505-2E9C-101B-9397-08002B2CF9AE}" pid="21" name="TSYTopic">
    <vt:lpwstr>184;#COVID-19|cc09a21e-f925-49e1-9a69-f2288a9e1b97</vt:lpwstr>
  </property>
  <property fmtid="{D5CDD505-2E9C-101B-9397-08002B2CF9AE}" pid="22" name="Cc">
    <vt:lpwstr/>
  </property>
  <property fmtid="{D5CDD505-2E9C-101B-9397-08002B2CF9AE}" pid="23" name="From1">
    <vt:lpwstr/>
  </property>
  <property fmtid="{D5CDD505-2E9C-101B-9397-08002B2CF9AE}" pid="24" name="MailIn-Reply-To">
    <vt:lpwstr/>
  </property>
  <property fmtid="{D5CDD505-2E9C-101B-9397-08002B2CF9AE}" pid="25" name="MailReferences">
    <vt:lpwstr/>
  </property>
  <property fmtid="{D5CDD505-2E9C-101B-9397-08002B2CF9AE}" pid="26" name="MailTo">
    <vt:lpwstr/>
  </property>
</Properties>
</file>